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DDE6F1">
      <w:pPr>
        <w:keepLines w:val="0"/>
        <w:pageBreakBefore w:val="0"/>
        <w:kinsoku/>
        <w:overflowPunct/>
        <w:bidi w:val="0"/>
        <w:spacing w:line="360" w:lineRule="auto"/>
        <w:ind w:firstLine="361" w:firstLineChars="100"/>
        <w:jc w:val="center"/>
        <w:rPr>
          <w:rFonts w:hAnsi="宋体" w:cs="宋体"/>
          <w:b/>
          <w:color w:val="auto"/>
          <w:sz w:val="36"/>
          <w:highlight w:val="none"/>
        </w:rPr>
      </w:pPr>
    </w:p>
    <w:p w14:paraId="561E04AF">
      <w:pPr>
        <w:keepLines w:val="0"/>
        <w:pageBreakBefore w:val="0"/>
        <w:kinsoku/>
        <w:overflowPunct/>
        <w:bidi w:val="0"/>
        <w:spacing w:line="360" w:lineRule="auto"/>
        <w:ind w:firstLine="301" w:firstLineChars="100"/>
        <w:jc w:val="center"/>
        <w:rPr>
          <w:rStyle w:val="373"/>
          <w:rFonts w:hint="eastAsia" w:ascii="宋体" w:hAnsi="宋体" w:cs="宋体"/>
          <w:color w:val="auto"/>
          <w:sz w:val="44"/>
          <w:szCs w:val="44"/>
          <w:highlight w:val="none"/>
          <w:lang w:eastAsia="zh-CN"/>
        </w:rPr>
      </w:pPr>
      <w:r>
        <w:rPr>
          <w:rFonts w:ascii="宋体" w:hAnsi="宋体"/>
          <w:b/>
          <w:color w:val="auto"/>
          <w:kern w:val="1"/>
          <w:sz w:val="30"/>
          <w:szCs w:val="30"/>
          <w:highlight w:val="none"/>
        </w:rPr>
        <w:drawing>
          <wp:inline distT="0" distB="0" distL="114300" distR="114300">
            <wp:extent cx="1517015" cy="1685290"/>
            <wp:effectExtent l="0" t="0" r="6985" b="10160"/>
            <wp:docPr id="3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IMG_256"/>
                    <pic:cNvPicPr>
                      <a:picLocks noChangeAspect="1"/>
                    </pic:cNvPicPr>
                  </pic:nvPicPr>
                  <pic:blipFill>
                    <a:blip r:embed="rId54"/>
                    <a:stretch>
                      <a:fillRect/>
                    </a:stretch>
                  </pic:blipFill>
                  <pic:spPr>
                    <a:xfrm>
                      <a:off x="0" y="0"/>
                      <a:ext cx="1517015" cy="1685290"/>
                    </a:xfrm>
                    <a:prstGeom prst="rect">
                      <a:avLst/>
                    </a:prstGeom>
                    <a:noFill/>
                    <a:ln>
                      <a:noFill/>
                    </a:ln>
                  </pic:spPr>
                </pic:pic>
              </a:graphicData>
            </a:graphic>
          </wp:inline>
        </w:drawing>
      </w:r>
    </w:p>
    <w:p w14:paraId="4D320555">
      <w:pPr>
        <w:keepLines w:val="0"/>
        <w:pageBreakBefore w:val="0"/>
        <w:kinsoku/>
        <w:overflowPunct/>
        <w:bidi w:val="0"/>
        <w:spacing w:line="360" w:lineRule="auto"/>
        <w:ind w:firstLine="402" w:firstLineChars="100"/>
        <w:jc w:val="center"/>
        <w:rPr>
          <w:rStyle w:val="373"/>
          <w:rFonts w:hint="eastAsia" w:ascii="宋体" w:hAnsi="宋体" w:eastAsia="宋体" w:cs="宋体"/>
          <w:color w:val="auto"/>
          <w:sz w:val="44"/>
          <w:szCs w:val="44"/>
          <w:highlight w:val="none"/>
          <w:lang w:eastAsia="zh-CN"/>
        </w:rPr>
      </w:pPr>
      <w:r>
        <w:rPr>
          <w:rStyle w:val="373"/>
          <w:rFonts w:hint="eastAsia" w:ascii="宋体" w:hAnsi="宋体" w:eastAsia="宋体" w:cs="宋体"/>
          <w:color w:val="auto"/>
          <w:sz w:val="44"/>
          <w:szCs w:val="44"/>
          <w:highlight w:val="none"/>
          <w:lang w:eastAsia="zh-CN"/>
        </w:rPr>
        <w:t>四川省凉山州消防救援支队室内烟火特性训练设施服务采购项目（</w:t>
      </w:r>
      <w:r>
        <w:rPr>
          <w:rStyle w:val="373"/>
          <w:rFonts w:hint="eastAsia" w:ascii="宋体" w:hAnsi="宋体" w:eastAsia="宋体" w:cs="宋体"/>
          <w:color w:val="auto"/>
          <w:sz w:val="44"/>
          <w:szCs w:val="44"/>
          <w:highlight w:val="none"/>
          <w:lang w:val="en-US" w:eastAsia="zh-CN"/>
        </w:rPr>
        <w:t>二次</w:t>
      </w:r>
      <w:r>
        <w:rPr>
          <w:rStyle w:val="373"/>
          <w:rFonts w:hint="eastAsia" w:ascii="宋体" w:hAnsi="宋体" w:eastAsia="宋体" w:cs="宋体"/>
          <w:color w:val="auto"/>
          <w:sz w:val="44"/>
          <w:szCs w:val="44"/>
          <w:highlight w:val="none"/>
          <w:lang w:eastAsia="zh-CN"/>
        </w:rPr>
        <w:t>）</w:t>
      </w:r>
    </w:p>
    <w:p w14:paraId="7740D87E">
      <w:pPr>
        <w:keepLines w:val="0"/>
        <w:pageBreakBefore w:val="0"/>
        <w:kinsoku/>
        <w:overflowPunct/>
        <w:bidi w:val="0"/>
        <w:spacing w:line="360" w:lineRule="auto"/>
        <w:ind w:firstLine="321" w:firstLineChars="100"/>
        <w:jc w:val="center"/>
        <w:rPr>
          <w:rFonts w:hint="eastAsia" w:hAnsi="宋体"/>
          <w:b/>
          <w:bCs/>
          <w:color w:val="auto"/>
          <w:sz w:val="32"/>
          <w:szCs w:val="32"/>
          <w:highlight w:val="none"/>
        </w:rPr>
      </w:pPr>
      <w:r>
        <w:rPr>
          <w:rFonts w:hint="eastAsia" w:hAnsi="宋体"/>
          <w:b/>
          <w:bCs/>
          <w:color w:val="auto"/>
          <w:sz w:val="32"/>
          <w:szCs w:val="32"/>
          <w:highlight w:val="none"/>
        </w:rPr>
        <w:t>招标编号：</w:t>
      </w:r>
      <w:r>
        <w:rPr>
          <w:rFonts w:hint="eastAsia" w:hAnsi="宋体"/>
          <w:b/>
          <w:bCs/>
          <w:color w:val="auto"/>
          <w:sz w:val="32"/>
          <w:szCs w:val="32"/>
          <w:highlight w:val="none"/>
          <w:lang w:eastAsia="zh-CN"/>
        </w:rPr>
        <w:t>SCWYZB-LSGZ-2025-122301</w:t>
      </w:r>
    </w:p>
    <w:p w14:paraId="03196E3C">
      <w:pPr>
        <w:pStyle w:val="27"/>
        <w:keepNext w:val="0"/>
        <w:keepLines w:val="0"/>
        <w:pageBreakBefore w:val="0"/>
        <w:widowControl/>
        <w:kinsoku/>
        <w:wordWrap/>
        <w:overflowPunct/>
        <w:topLinePunct w:val="0"/>
        <w:autoSpaceDE/>
        <w:autoSpaceDN/>
        <w:bidi w:val="0"/>
        <w:adjustRightInd/>
        <w:snapToGrid/>
        <w:spacing w:line="360" w:lineRule="auto"/>
        <w:ind w:left="108" w:firstLine="692"/>
        <w:textAlignment w:val="auto"/>
        <w:rPr>
          <w:rFonts w:hint="eastAsia" w:hAnsi="宋体"/>
          <w:b/>
          <w:bCs/>
          <w:color w:val="auto"/>
          <w:sz w:val="32"/>
          <w:szCs w:val="32"/>
          <w:highlight w:val="none"/>
        </w:rPr>
      </w:pPr>
    </w:p>
    <w:p w14:paraId="5FFDF0BE">
      <w:pPr>
        <w:keepLines w:val="0"/>
        <w:pageBreakBefore w:val="0"/>
        <w:kinsoku/>
        <w:overflowPunct/>
        <w:bidi w:val="0"/>
        <w:spacing w:line="360" w:lineRule="auto"/>
        <w:ind w:firstLine="843" w:firstLineChars="100"/>
        <w:jc w:val="center"/>
        <w:rPr>
          <w:rFonts w:hint="eastAsia" w:hAnsi="宋体"/>
          <w:b/>
          <w:bCs/>
          <w:color w:val="auto"/>
          <w:sz w:val="84"/>
          <w:szCs w:val="84"/>
          <w:highlight w:val="none"/>
        </w:rPr>
      </w:pPr>
      <w:r>
        <w:rPr>
          <w:rFonts w:hint="eastAsia" w:hAnsi="宋体"/>
          <w:b/>
          <w:bCs/>
          <w:color w:val="auto"/>
          <w:sz w:val="84"/>
          <w:szCs w:val="84"/>
          <w:highlight w:val="none"/>
        </w:rPr>
        <w:t>招 标 文 件</w:t>
      </w:r>
    </w:p>
    <w:p w14:paraId="5DA469CC">
      <w:pPr>
        <w:keepLines w:val="0"/>
        <w:pageBreakBefore w:val="0"/>
        <w:kinsoku/>
        <w:overflowPunct/>
        <w:bidi w:val="0"/>
        <w:spacing w:line="360" w:lineRule="auto"/>
        <w:ind w:firstLine="361" w:firstLineChars="100"/>
        <w:jc w:val="center"/>
        <w:rPr>
          <w:rFonts w:hint="eastAsia" w:hAnsi="宋体"/>
          <w:b/>
          <w:bCs/>
          <w:color w:val="auto"/>
          <w:sz w:val="36"/>
          <w:szCs w:val="36"/>
          <w:highlight w:val="none"/>
        </w:rPr>
      </w:pPr>
      <w:bookmarkStart w:id="0" w:name="_Hlt101843627"/>
      <w:bookmarkEnd w:id="0"/>
      <w:bookmarkStart w:id="1" w:name="_Hlt101233737"/>
      <w:bookmarkEnd w:id="1"/>
      <w:bookmarkStart w:id="2" w:name="_Toc217446030"/>
      <w:bookmarkStart w:id="3" w:name="_Toc183682338"/>
      <w:r>
        <w:rPr>
          <w:rFonts w:hint="eastAsia" w:hAnsi="宋体"/>
          <w:b/>
          <w:bCs/>
          <w:color w:val="auto"/>
          <w:sz w:val="36"/>
          <w:szCs w:val="36"/>
          <w:highlight w:val="none"/>
        </w:rPr>
        <w:t>中国·四川</w:t>
      </w:r>
    </w:p>
    <w:p w14:paraId="09BFD4E5">
      <w:pPr>
        <w:keepLines w:val="0"/>
        <w:pageBreakBefore w:val="0"/>
        <w:kinsoku/>
        <w:overflowPunct/>
        <w:bidi w:val="0"/>
        <w:spacing w:line="360" w:lineRule="auto"/>
        <w:ind w:firstLine="361" w:firstLineChars="100"/>
        <w:jc w:val="center"/>
        <w:rPr>
          <w:rFonts w:hint="eastAsia" w:hAnsi="宋体"/>
          <w:b/>
          <w:bCs/>
          <w:color w:val="auto"/>
          <w:sz w:val="36"/>
          <w:szCs w:val="36"/>
          <w:highlight w:val="none"/>
          <w:lang w:eastAsia="zh-CN"/>
        </w:rPr>
      </w:pPr>
      <w:r>
        <w:rPr>
          <w:rFonts w:hint="eastAsia" w:hAnsi="宋体"/>
          <w:b/>
          <w:bCs/>
          <w:color w:val="auto"/>
          <w:sz w:val="36"/>
          <w:szCs w:val="36"/>
          <w:highlight w:val="none"/>
          <w:lang w:eastAsia="zh-CN"/>
        </w:rPr>
        <w:t>凉山彝族自治州消防救援支队</w:t>
      </w:r>
    </w:p>
    <w:p w14:paraId="2CE627CE">
      <w:pPr>
        <w:keepLines w:val="0"/>
        <w:pageBreakBefore w:val="0"/>
        <w:kinsoku/>
        <w:overflowPunct/>
        <w:bidi w:val="0"/>
        <w:spacing w:line="360" w:lineRule="auto"/>
        <w:ind w:firstLine="361" w:firstLineChars="100"/>
        <w:jc w:val="center"/>
        <w:rPr>
          <w:rFonts w:hint="eastAsia" w:hAnsi="宋体"/>
          <w:b/>
          <w:bCs/>
          <w:color w:val="auto"/>
          <w:sz w:val="36"/>
          <w:szCs w:val="36"/>
          <w:highlight w:val="none"/>
        </w:rPr>
      </w:pPr>
      <w:r>
        <w:rPr>
          <w:rFonts w:hint="eastAsia" w:hAnsi="宋体"/>
          <w:b/>
          <w:bCs/>
          <w:color w:val="auto"/>
          <w:sz w:val="36"/>
          <w:szCs w:val="36"/>
          <w:highlight w:val="none"/>
        </w:rPr>
        <w:t>四川五邑招标代理有限公司</w:t>
      </w:r>
    </w:p>
    <w:p w14:paraId="0010E553">
      <w:pPr>
        <w:keepLines w:val="0"/>
        <w:pageBreakBefore w:val="0"/>
        <w:kinsoku/>
        <w:overflowPunct/>
        <w:bidi w:val="0"/>
        <w:spacing w:line="360" w:lineRule="auto"/>
        <w:ind w:firstLine="361" w:firstLineChars="100"/>
        <w:jc w:val="center"/>
        <w:rPr>
          <w:rFonts w:hint="eastAsia" w:hAnsi="宋体"/>
          <w:b/>
          <w:bCs/>
          <w:color w:val="auto"/>
          <w:sz w:val="36"/>
          <w:szCs w:val="36"/>
          <w:highlight w:val="none"/>
        </w:rPr>
      </w:pPr>
      <w:r>
        <w:rPr>
          <w:rFonts w:hint="eastAsia" w:hAnsi="宋体"/>
          <w:b/>
          <w:bCs/>
          <w:color w:val="auto"/>
          <w:sz w:val="36"/>
          <w:szCs w:val="36"/>
          <w:highlight w:val="none"/>
        </w:rPr>
        <w:t>共同编制</w:t>
      </w:r>
    </w:p>
    <w:p w14:paraId="21E16E9D">
      <w:pPr>
        <w:keepLines w:val="0"/>
        <w:pageBreakBefore w:val="0"/>
        <w:kinsoku/>
        <w:overflowPunct/>
        <w:bidi w:val="0"/>
        <w:spacing w:line="360" w:lineRule="auto"/>
        <w:ind w:firstLine="361" w:firstLineChars="100"/>
        <w:jc w:val="center"/>
        <w:rPr>
          <w:rFonts w:hint="eastAsia" w:hAnsi="宋体"/>
          <w:b/>
          <w:bCs/>
          <w:color w:val="auto"/>
          <w:sz w:val="36"/>
          <w:szCs w:val="36"/>
          <w:highlight w:val="none"/>
          <w:lang w:eastAsia="zh-CN"/>
        </w:rPr>
      </w:pPr>
    </w:p>
    <w:p w14:paraId="5AABD614">
      <w:pPr>
        <w:keepLines w:val="0"/>
        <w:pageBreakBefore w:val="0"/>
        <w:kinsoku/>
        <w:overflowPunct/>
        <w:bidi w:val="0"/>
        <w:spacing w:line="360" w:lineRule="auto"/>
        <w:ind w:firstLine="361" w:firstLineChars="100"/>
        <w:jc w:val="center"/>
        <w:rPr>
          <w:rFonts w:hint="default" w:hAnsi="宋体" w:eastAsia="宋体"/>
          <w:b/>
          <w:bCs/>
          <w:color w:val="auto"/>
          <w:sz w:val="36"/>
          <w:szCs w:val="36"/>
          <w:highlight w:val="none"/>
          <w:lang w:val="en-US" w:eastAsia="zh-CN"/>
        </w:rPr>
      </w:pPr>
      <w:r>
        <w:rPr>
          <w:rFonts w:hint="eastAsia" w:hAnsi="宋体"/>
          <w:b/>
          <w:bCs/>
          <w:color w:val="auto"/>
          <w:sz w:val="36"/>
          <w:szCs w:val="36"/>
          <w:highlight w:val="none"/>
          <w:lang w:eastAsia="zh-CN"/>
        </w:rPr>
        <w:t>202</w:t>
      </w:r>
      <w:r>
        <w:rPr>
          <w:rFonts w:hint="eastAsia" w:hAnsi="宋体"/>
          <w:b/>
          <w:bCs/>
          <w:color w:val="auto"/>
          <w:sz w:val="36"/>
          <w:szCs w:val="36"/>
          <w:highlight w:val="none"/>
          <w:lang w:val="en-US" w:eastAsia="zh-CN"/>
        </w:rPr>
        <w:t>6</w:t>
      </w:r>
      <w:r>
        <w:rPr>
          <w:rFonts w:hint="eastAsia" w:hAnsi="宋体"/>
          <w:b/>
          <w:bCs/>
          <w:color w:val="auto"/>
          <w:sz w:val="36"/>
          <w:szCs w:val="36"/>
          <w:highlight w:val="none"/>
          <w:lang w:eastAsia="zh-CN"/>
        </w:rPr>
        <w:t>年</w:t>
      </w:r>
      <w:r>
        <w:rPr>
          <w:rFonts w:hint="eastAsia" w:hAnsi="宋体"/>
          <w:b/>
          <w:bCs/>
          <w:color w:val="auto"/>
          <w:sz w:val="36"/>
          <w:szCs w:val="36"/>
          <w:highlight w:val="none"/>
          <w:lang w:val="en-US" w:eastAsia="zh-CN"/>
        </w:rPr>
        <w:t>01</w:t>
      </w:r>
      <w:r>
        <w:rPr>
          <w:rFonts w:hint="eastAsia" w:hAnsi="宋体"/>
          <w:b/>
          <w:bCs/>
          <w:color w:val="auto"/>
          <w:sz w:val="36"/>
          <w:szCs w:val="36"/>
          <w:highlight w:val="none"/>
        </w:rPr>
        <w:t>月</w:t>
      </w:r>
    </w:p>
    <w:p w14:paraId="22653011">
      <w:pPr>
        <w:pStyle w:val="7"/>
        <w:keepLines w:val="0"/>
        <w:pageBreakBefore w:val="0"/>
        <w:kinsoku/>
        <w:overflowPunct/>
        <w:bidi w:val="0"/>
        <w:spacing w:before="0" w:after="0" w:line="360" w:lineRule="auto"/>
        <w:jc w:val="both"/>
        <w:rPr>
          <w:rFonts w:hint="default" w:ascii="宋体" w:hAnsi="宋体" w:eastAsia="宋体" w:cs="宋体"/>
          <w:bCs w:val="0"/>
          <w:color w:val="auto"/>
          <w:sz w:val="36"/>
          <w:highlight w:val="none"/>
          <w:lang w:val="en-US" w:eastAsia="zh-CN"/>
        </w:rPr>
      </w:pPr>
    </w:p>
    <w:p w14:paraId="0FF0DF99">
      <w:pPr>
        <w:rPr>
          <w:rFonts w:hint="default"/>
          <w:lang w:val="en-US" w:eastAsia="zh-CN"/>
        </w:rPr>
        <w:sectPr>
          <w:headerReference r:id="rId5" w:type="first"/>
          <w:headerReference r:id="rId3" w:type="default"/>
          <w:footerReference r:id="rId6" w:type="default"/>
          <w:headerReference r:id="rId4" w:type="even"/>
          <w:pgSz w:w="11907" w:h="16840"/>
          <w:pgMar w:top="1440" w:right="1080" w:bottom="1440" w:left="1080" w:header="0" w:footer="0" w:gutter="0"/>
          <w:pgBorders>
            <w:top w:val="none" w:sz="0" w:space="0"/>
            <w:left w:val="none" w:sz="0" w:space="0"/>
            <w:bottom w:val="none" w:sz="0" w:space="0"/>
            <w:right w:val="none" w:sz="0" w:space="0"/>
          </w:pgBorders>
          <w:pgNumType w:fmt="decimal" w:start="0"/>
          <w:cols w:space="720" w:num="1"/>
          <w:titlePg/>
          <w:docGrid w:linePitch="312" w:charSpace="0"/>
        </w:sectPr>
      </w:pPr>
    </w:p>
    <w:p w14:paraId="056E34F5">
      <w:pPr>
        <w:pStyle w:val="27"/>
        <w:keepNext w:val="0"/>
        <w:keepLines w:val="0"/>
        <w:pageBreakBefore w:val="0"/>
        <w:widowControl/>
        <w:kinsoku/>
        <w:wordWrap/>
        <w:overflowPunct/>
        <w:topLinePunct w:val="0"/>
        <w:autoSpaceDE/>
        <w:autoSpaceDN/>
        <w:bidi w:val="0"/>
        <w:adjustRightInd/>
        <w:snapToGrid/>
        <w:spacing w:line="360" w:lineRule="auto"/>
        <w:ind w:left="108" w:firstLine="692"/>
        <w:textAlignment w:val="auto"/>
        <w:rPr>
          <w:rFonts w:hAnsi="宋体"/>
          <w:color w:val="auto"/>
          <w:highlight w:val="none"/>
        </w:rPr>
      </w:pPr>
    </w:p>
    <w:p w14:paraId="12239C10">
      <w:pPr>
        <w:keepLines w:val="0"/>
        <w:pageBreakBefore w:val="0"/>
        <w:kinsoku/>
        <w:overflowPunct/>
        <w:bidi w:val="0"/>
        <w:spacing w:line="360" w:lineRule="auto"/>
        <w:ind w:firstLine="482" w:firstLineChars="100"/>
        <w:jc w:val="center"/>
        <w:rPr>
          <w:rFonts w:hint="eastAsia" w:hAnsi="宋体"/>
          <w:b/>
          <w:bCs/>
          <w:color w:val="auto"/>
          <w:sz w:val="48"/>
          <w:szCs w:val="48"/>
          <w:highlight w:val="none"/>
        </w:rPr>
      </w:pPr>
      <w:bookmarkStart w:id="4" w:name="_Toc12069"/>
      <w:r>
        <w:rPr>
          <w:rFonts w:hint="eastAsia" w:hAnsi="宋体"/>
          <w:b/>
          <w:bCs/>
          <w:color w:val="auto"/>
          <w:sz w:val="48"/>
          <w:szCs w:val="48"/>
          <w:highlight w:val="none"/>
        </w:rPr>
        <w:t>目    录</w:t>
      </w:r>
      <w:bookmarkEnd w:id="4"/>
    </w:p>
    <w:p w14:paraId="0C57CC5B">
      <w:pPr>
        <w:pStyle w:val="31"/>
        <w:tabs>
          <w:tab w:val="right" w:leader="dot" w:pos="9747"/>
        </w:tabs>
      </w:pPr>
      <w:r>
        <w:rPr>
          <w:rFonts w:hint="eastAsia"/>
          <w:color w:val="auto"/>
          <w:highlight w:val="none"/>
        </w:rPr>
        <w:fldChar w:fldCharType="begin"/>
      </w:r>
      <w:r>
        <w:rPr>
          <w:rFonts w:hint="eastAsia"/>
          <w:color w:val="auto"/>
          <w:highlight w:val="none"/>
        </w:rPr>
        <w:instrText xml:space="preserve">TOC \o "1-1" \h \u </w:instrText>
      </w:r>
      <w:r>
        <w:rPr>
          <w:rFonts w:hint="eastAsia"/>
          <w:color w:val="auto"/>
          <w:highlight w:val="none"/>
        </w:rPr>
        <w:fldChar w:fldCharType="separate"/>
      </w:r>
      <w:r>
        <w:rPr>
          <w:rFonts w:hint="eastAsia"/>
          <w:color w:val="auto"/>
          <w:highlight w:val="none"/>
        </w:rPr>
        <w:fldChar w:fldCharType="begin"/>
      </w:r>
      <w:r>
        <w:rPr>
          <w:rFonts w:hint="eastAsia"/>
          <w:highlight w:val="none"/>
        </w:rPr>
        <w:instrText xml:space="preserve"> HYPERLINK \l _Toc958 </w:instrText>
      </w:r>
      <w:r>
        <w:rPr>
          <w:rFonts w:hint="eastAsia"/>
          <w:highlight w:val="none"/>
        </w:rPr>
        <w:fldChar w:fldCharType="separate"/>
      </w:r>
      <w:r>
        <w:rPr>
          <w:rFonts w:hint="eastAsia" w:ascii="Cambria" w:hAnsi="Cambria" w:eastAsia="宋体" w:cs="Times New Roman"/>
          <w:bCs/>
          <w:kern w:val="32"/>
          <w:szCs w:val="32"/>
          <w:highlight w:val="none"/>
          <w:lang w:val="en-US" w:eastAsia="zh-CN" w:bidi="ar-SA"/>
        </w:rPr>
        <w:t>第一章  投标邀请</w:t>
      </w:r>
      <w:r>
        <w:tab/>
      </w:r>
      <w:r>
        <w:fldChar w:fldCharType="begin"/>
      </w:r>
      <w:r>
        <w:instrText xml:space="preserve"> PAGEREF _Toc958 \h </w:instrText>
      </w:r>
      <w:r>
        <w:fldChar w:fldCharType="separate"/>
      </w:r>
      <w:r>
        <w:t>2</w:t>
      </w:r>
      <w:r>
        <w:fldChar w:fldCharType="end"/>
      </w:r>
      <w:r>
        <w:rPr>
          <w:rFonts w:hint="eastAsia"/>
          <w:color w:val="auto"/>
          <w:highlight w:val="none"/>
        </w:rPr>
        <w:fldChar w:fldCharType="end"/>
      </w:r>
    </w:p>
    <w:p w14:paraId="04B6EDC1">
      <w:pPr>
        <w:pStyle w:val="31"/>
        <w:tabs>
          <w:tab w:val="right" w:leader="dot" w:pos="9747"/>
        </w:tabs>
      </w:pPr>
      <w:r>
        <w:rPr>
          <w:rFonts w:hint="eastAsia"/>
          <w:color w:val="auto"/>
          <w:highlight w:val="none"/>
        </w:rPr>
        <w:fldChar w:fldCharType="begin"/>
      </w:r>
      <w:r>
        <w:rPr>
          <w:rFonts w:hint="eastAsia"/>
          <w:highlight w:val="none"/>
        </w:rPr>
        <w:instrText xml:space="preserve"> HYPERLINK \l _Toc27279 </w:instrText>
      </w:r>
      <w:r>
        <w:rPr>
          <w:rFonts w:hint="eastAsia"/>
          <w:highlight w:val="none"/>
        </w:rPr>
        <w:fldChar w:fldCharType="separate"/>
      </w:r>
      <w:r>
        <w:rPr>
          <w:rFonts w:hint="eastAsia" w:ascii="Cambria" w:hAnsi="Cambria" w:eastAsia="宋体" w:cs="Times New Roman"/>
          <w:bCs/>
          <w:kern w:val="32"/>
          <w:szCs w:val="32"/>
          <w:highlight w:val="none"/>
          <w:lang w:val="en-US" w:eastAsia="zh-CN" w:bidi="ar-SA"/>
        </w:rPr>
        <w:t>第二章  投标人须知</w:t>
      </w:r>
      <w:r>
        <w:tab/>
      </w:r>
      <w:r>
        <w:fldChar w:fldCharType="begin"/>
      </w:r>
      <w:r>
        <w:instrText xml:space="preserve"> PAGEREF _Toc27279 \h </w:instrText>
      </w:r>
      <w:r>
        <w:fldChar w:fldCharType="separate"/>
      </w:r>
      <w:r>
        <w:t>3</w:t>
      </w:r>
      <w:r>
        <w:fldChar w:fldCharType="end"/>
      </w:r>
      <w:r>
        <w:rPr>
          <w:rFonts w:hint="eastAsia"/>
          <w:color w:val="auto"/>
          <w:highlight w:val="none"/>
        </w:rPr>
        <w:fldChar w:fldCharType="end"/>
      </w:r>
    </w:p>
    <w:p w14:paraId="53BE0B99">
      <w:pPr>
        <w:pStyle w:val="31"/>
        <w:tabs>
          <w:tab w:val="right" w:leader="dot" w:pos="9747"/>
        </w:tabs>
      </w:pPr>
      <w:r>
        <w:rPr>
          <w:rFonts w:hint="eastAsia"/>
          <w:color w:val="auto"/>
          <w:highlight w:val="none"/>
        </w:rPr>
        <w:fldChar w:fldCharType="begin"/>
      </w:r>
      <w:r>
        <w:rPr>
          <w:rFonts w:hint="eastAsia"/>
          <w:highlight w:val="none"/>
        </w:rPr>
        <w:instrText xml:space="preserve"> HYPERLINK \l _Toc22345 </w:instrText>
      </w:r>
      <w:r>
        <w:rPr>
          <w:rFonts w:hint="eastAsia"/>
          <w:highlight w:val="none"/>
        </w:rPr>
        <w:fldChar w:fldCharType="separate"/>
      </w:r>
      <w:r>
        <w:rPr>
          <w:rFonts w:hint="eastAsia" w:ascii="Cambria" w:hAnsi="Cambria" w:eastAsia="宋体" w:cs="Times New Roman"/>
          <w:bCs/>
          <w:kern w:val="32"/>
          <w:szCs w:val="32"/>
          <w:highlight w:val="none"/>
          <w:lang w:val="en-US" w:eastAsia="zh-CN" w:bidi="ar-SA"/>
        </w:rPr>
        <w:t>第三章 投标文件格式</w:t>
      </w:r>
      <w:r>
        <w:tab/>
      </w:r>
      <w:r>
        <w:fldChar w:fldCharType="begin"/>
      </w:r>
      <w:r>
        <w:instrText xml:space="preserve"> PAGEREF _Toc22345 \h </w:instrText>
      </w:r>
      <w:r>
        <w:fldChar w:fldCharType="separate"/>
      </w:r>
      <w:r>
        <w:t>20</w:t>
      </w:r>
      <w:r>
        <w:fldChar w:fldCharType="end"/>
      </w:r>
      <w:r>
        <w:rPr>
          <w:rFonts w:hint="eastAsia"/>
          <w:color w:val="auto"/>
          <w:highlight w:val="none"/>
        </w:rPr>
        <w:fldChar w:fldCharType="end"/>
      </w:r>
    </w:p>
    <w:p w14:paraId="7C76FE15">
      <w:pPr>
        <w:pStyle w:val="31"/>
        <w:tabs>
          <w:tab w:val="right" w:leader="dot" w:pos="9747"/>
        </w:tabs>
      </w:pPr>
      <w:r>
        <w:rPr>
          <w:rFonts w:hint="eastAsia"/>
          <w:color w:val="auto"/>
          <w:highlight w:val="none"/>
        </w:rPr>
        <w:fldChar w:fldCharType="begin"/>
      </w:r>
      <w:r>
        <w:rPr>
          <w:rFonts w:hint="eastAsia"/>
          <w:highlight w:val="none"/>
        </w:rPr>
        <w:instrText xml:space="preserve"> HYPERLINK \l _Toc29319 </w:instrText>
      </w:r>
      <w:r>
        <w:rPr>
          <w:rFonts w:hint="eastAsia"/>
          <w:highlight w:val="none"/>
        </w:rPr>
        <w:fldChar w:fldCharType="separate"/>
      </w:r>
      <w:r>
        <w:rPr>
          <w:rFonts w:hint="eastAsia" w:ascii="Cambria" w:hAnsi="Cambria" w:eastAsia="宋体" w:cs="Times New Roman"/>
          <w:bCs/>
          <w:kern w:val="32"/>
          <w:szCs w:val="32"/>
          <w:highlight w:val="none"/>
          <w:lang w:val="en-US" w:eastAsia="zh-CN" w:bidi="ar-SA"/>
        </w:rPr>
        <w:t>第四章、投标人和投标产品的资格、资质性及其他类似效力要求</w:t>
      </w:r>
      <w:r>
        <w:tab/>
      </w:r>
      <w:r>
        <w:fldChar w:fldCharType="begin"/>
      </w:r>
      <w:r>
        <w:instrText xml:space="preserve"> PAGEREF _Toc29319 \h </w:instrText>
      </w:r>
      <w:r>
        <w:fldChar w:fldCharType="separate"/>
      </w:r>
      <w:r>
        <w:t>41</w:t>
      </w:r>
      <w:r>
        <w:fldChar w:fldCharType="end"/>
      </w:r>
      <w:r>
        <w:rPr>
          <w:rFonts w:hint="eastAsia"/>
          <w:color w:val="auto"/>
          <w:highlight w:val="none"/>
        </w:rPr>
        <w:fldChar w:fldCharType="end"/>
      </w:r>
    </w:p>
    <w:p w14:paraId="671E3A94">
      <w:pPr>
        <w:pStyle w:val="31"/>
        <w:tabs>
          <w:tab w:val="right" w:leader="dot" w:pos="9747"/>
        </w:tabs>
      </w:pPr>
      <w:r>
        <w:rPr>
          <w:rFonts w:hint="eastAsia"/>
          <w:color w:val="auto"/>
          <w:highlight w:val="none"/>
        </w:rPr>
        <w:fldChar w:fldCharType="begin"/>
      </w:r>
      <w:r>
        <w:rPr>
          <w:rFonts w:hint="eastAsia"/>
          <w:highlight w:val="none"/>
        </w:rPr>
        <w:instrText xml:space="preserve"> HYPERLINK \l _Toc28092 </w:instrText>
      </w:r>
      <w:r>
        <w:rPr>
          <w:rFonts w:hint="eastAsia"/>
          <w:highlight w:val="none"/>
        </w:rPr>
        <w:fldChar w:fldCharType="separate"/>
      </w:r>
      <w:r>
        <w:rPr>
          <w:rFonts w:hint="eastAsia" w:ascii="Cambria" w:hAnsi="Cambria" w:eastAsia="宋体" w:cs="Times New Roman"/>
          <w:bCs/>
          <w:kern w:val="32"/>
          <w:szCs w:val="32"/>
          <w:highlight w:val="none"/>
          <w:lang w:val="en-US" w:eastAsia="zh-CN" w:bidi="ar-SA"/>
        </w:rPr>
        <w:t>第五章 投标人应当提供的资格、资质性及其他类似效力要求的相关证明材料</w:t>
      </w:r>
      <w:r>
        <w:tab/>
      </w:r>
      <w:r>
        <w:fldChar w:fldCharType="begin"/>
      </w:r>
      <w:r>
        <w:instrText xml:space="preserve"> PAGEREF _Toc28092 \h </w:instrText>
      </w:r>
      <w:r>
        <w:fldChar w:fldCharType="separate"/>
      </w:r>
      <w:r>
        <w:t>42</w:t>
      </w:r>
      <w:r>
        <w:fldChar w:fldCharType="end"/>
      </w:r>
      <w:r>
        <w:rPr>
          <w:rFonts w:hint="eastAsia"/>
          <w:color w:val="auto"/>
          <w:highlight w:val="none"/>
        </w:rPr>
        <w:fldChar w:fldCharType="end"/>
      </w:r>
    </w:p>
    <w:p w14:paraId="47AC3AE7">
      <w:pPr>
        <w:pStyle w:val="31"/>
        <w:tabs>
          <w:tab w:val="right" w:leader="dot" w:pos="9747"/>
        </w:tabs>
      </w:pPr>
      <w:r>
        <w:rPr>
          <w:rFonts w:hint="eastAsia"/>
          <w:color w:val="auto"/>
          <w:highlight w:val="none"/>
        </w:rPr>
        <w:fldChar w:fldCharType="begin"/>
      </w:r>
      <w:r>
        <w:rPr>
          <w:rFonts w:hint="eastAsia"/>
          <w:highlight w:val="none"/>
        </w:rPr>
        <w:instrText xml:space="preserve"> HYPERLINK \l _Toc444 </w:instrText>
      </w:r>
      <w:r>
        <w:rPr>
          <w:rFonts w:hint="eastAsia"/>
          <w:highlight w:val="none"/>
        </w:rPr>
        <w:fldChar w:fldCharType="separate"/>
      </w:r>
      <w:r>
        <w:rPr>
          <w:rFonts w:hint="eastAsia" w:ascii="Cambria" w:hAnsi="Cambria" w:eastAsia="宋体" w:cs="Times New Roman"/>
          <w:bCs/>
          <w:kern w:val="32"/>
          <w:szCs w:val="32"/>
          <w:highlight w:val="none"/>
          <w:lang w:val="en-US" w:eastAsia="zh-CN" w:bidi="ar-SA"/>
        </w:rPr>
        <w:t>第六章 本项目技术、服务、政府采购履约主要条款及其他要求条款</w:t>
      </w:r>
      <w:r>
        <w:tab/>
      </w:r>
      <w:r>
        <w:fldChar w:fldCharType="begin"/>
      </w:r>
      <w:r>
        <w:instrText xml:space="preserve"> PAGEREF _Toc444 \h </w:instrText>
      </w:r>
      <w:r>
        <w:fldChar w:fldCharType="separate"/>
      </w:r>
      <w:r>
        <w:t>44</w:t>
      </w:r>
      <w:r>
        <w:fldChar w:fldCharType="end"/>
      </w:r>
      <w:r>
        <w:rPr>
          <w:rFonts w:hint="eastAsia"/>
          <w:color w:val="auto"/>
          <w:highlight w:val="none"/>
        </w:rPr>
        <w:fldChar w:fldCharType="end"/>
      </w:r>
    </w:p>
    <w:p w14:paraId="0D52DCB5">
      <w:pPr>
        <w:pStyle w:val="31"/>
        <w:tabs>
          <w:tab w:val="right" w:leader="dot" w:pos="9747"/>
        </w:tabs>
      </w:pPr>
      <w:r>
        <w:rPr>
          <w:rFonts w:hint="eastAsia"/>
          <w:color w:val="auto"/>
          <w:highlight w:val="none"/>
        </w:rPr>
        <w:fldChar w:fldCharType="begin"/>
      </w:r>
      <w:r>
        <w:rPr>
          <w:rFonts w:hint="eastAsia"/>
          <w:highlight w:val="none"/>
        </w:rPr>
        <w:instrText xml:space="preserve"> HYPERLINK \l _Toc12177 </w:instrText>
      </w:r>
      <w:r>
        <w:rPr>
          <w:rFonts w:hint="eastAsia"/>
          <w:highlight w:val="none"/>
        </w:rPr>
        <w:fldChar w:fldCharType="separate"/>
      </w:r>
      <w:r>
        <w:rPr>
          <w:rFonts w:hint="eastAsia" w:ascii="Cambria" w:hAnsi="Cambria" w:eastAsia="宋体" w:cs="Times New Roman"/>
          <w:bCs/>
          <w:kern w:val="32"/>
          <w:szCs w:val="32"/>
          <w:highlight w:val="none"/>
          <w:lang w:val="en-US" w:eastAsia="zh-CN" w:bidi="ar-SA"/>
        </w:rPr>
        <w:t>第七章  评标办法</w:t>
      </w:r>
      <w:r>
        <w:tab/>
      </w:r>
      <w:r>
        <w:fldChar w:fldCharType="begin"/>
      </w:r>
      <w:r>
        <w:instrText xml:space="preserve"> PAGEREF _Toc12177 \h </w:instrText>
      </w:r>
      <w:r>
        <w:fldChar w:fldCharType="separate"/>
      </w:r>
      <w:r>
        <w:t>51</w:t>
      </w:r>
      <w:r>
        <w:fldChar w:fldCharType="end"/>
      </w:r>
      <w:r>
        <w:rPr>
          <w:rFonts w:hint="eastAsia"/>
          <w:color w:val="auto"/>
          <w:highlight w:val="none"/>
        </w:rPr>
        <w:fldChar w:fldCharType="end"/>
      </w:r>
    </w:p>
    <w:p w14:paraId="1259F9B4">
      <w:pPr>
        <w:pStyle w:val="31"/>
        <w:tabs>
          <w:tab w:val="right" w:leader="dot" w:pos="9747"/>
        </w:tabs>
      </w:pPr>
      <w:r>
        <w:rPr>
          <w:rFonts w:hint="eastAsia"/>
          <w:color w:val="auto"/>
          <w:highlight w:val="none"/>
        </w:rPr>
        <w:fldChar w:fldCharType="begin"/>
      </w:r>
      <w:r>
        <w:rPr>
          <w:rFonts w:hint="eastAsia"/>
          <w:highlight w:val="none"/>
        </w:rPr>
        <w:instrText xml:space="preserve"> HYPERLINK \l _Toc14473 </w:instrText>
      </w:r>
      <w:r>
        <w:rPr>
          <w:rFonts w:hint="eastAsia"/>
          <w:highlight w:val="none"/>
        </w:rPr>
        <w:fldChar w:fldCharType="separate"/>
      </w:r>
      <w:r>
        <w:rPr>
          <w:rFonts w:hint="eastAsia" w:ascii="Cambria" w:hAnsi="Cambria" w:eastAsia="宋体" w:cs="Times New Roman"/>
          <w:bCs/>
          <w:kern w:val="32"/>
          <w:szCs w:val="32"/>
          <w:highlight w:val="none"/>
          <w:lang w:val="en-US" w:eastAsia="zh-CN" w:bidi="ar-SA"/>
        </w:rPr>
        <w:t xml:space="preserve">第八章 </w:t>
      </w:r>
      <w:r>
        <w:rPr>
          <w:rFonts w:hint="eastAsia" w:cs="Times New Roman"/>
          <w:bCs/>
          <w:kern w:val="32"/>
          <w:szCs w:val="32"/>
          <w:highlight w:val="none"/>
          <w:lang w:val="en-US" w:eastAsia="zh-CN" w:bidi="ar-SA"/>
        </w:rPr>
        <w:t>采购合同</w:t>
      </w:r>
      <w:r>
        <w:rPr>
          <w:rFonts w:hint="eastAsia" w:ascii="Cambria" w:hAnsi="Cambria" w:eastAsia="宋体" w:cs="Times New Roman"/>
          <w:bCs/>
          <w:kern w:val="32"/>
          <w:szCs w:val="32"/>
          <w:highlight w:val="none"/>
          <w:lang w:val="en-US" w:eastAsia="zh-CN" w:bidi="ar-SA"/>
        </w:rPr>
        <w:t>（草案）</w:t>
      </w:r>
      <w:r>
        <w:tab/>
      </w:r>
      <w:r>
        <w:fldChar w:fldCharType="begin"/>
      </w:r>
      <w:r>
        <w:instrText xml:space="preserve"> PAGEREF _Toc14473 \h </w:instrText>
      </w:r>
      <w:r>
        <w:fldChar w:fldCharType="separate"/>
      </w:r>
      <w:r>
        <w:t>61</w:t>
      </w:r>
      <w:r>
        <w:fldChar w:fldCharType="end"/>
      </w:r>
      <w:r>
        <w:rPr>
          <w:rFonts w:hint="eastAsia"/>
          <w:color w:val="auto"/>
          <w:highlight w:val="none"/>
        </w:rPr>
        <w:fldChar w:fldCharType="end"/>
      </w:r>
    </w:p>
    <w:p w14:paraId="68697089">
      <w:pPr>
        <w:keepLines w:val="0"/>
        <w:pageBreakBefore w:val="0"/>
        <w:kinsoku/>
        <w:overflowPunct/>
        <w:bidi w:val="0"/>
        <w:spacing w:line="360" w:lineRule="auto"/>
        <w:jc w:val="center"/>
        <w:outlineLvl w:val="0"/>
        <w:rPr>
          <w:color w:val="auto"/>
          <w:highlight w:val="none"/>
        </w:rPr>
      </w:pPr>
      <w:r>
        <w:rPr>
          <w:rFonts w:hint="eastAsia"/>
          <w:color w:val="auto"/>
          <w:highlight w:val="none"/>
        </w:rPr>
        <w:fldChar w:fldCharType="end"/>
      </w:r>
      <w:bookmarkStart w:id="5" w:name="_Toc6743"/>
      <w:bookmarkStart w:id="6" w:name="_Toc12289"/>
      <w:bookmarkStart w:id="7" w:name="_Toc958"/>
      <w:r>
        <w:rPr>
          <w:rFonts w:hint="eastAsia" w:hAnsi="宋体"/>
          <w:b/>
          <w:bCs/>
          <w:color w:val="auto"/>
          <w:sz w:val="36"/>
          <w:szCs w:val="36"/>
          <w:highlight w:val="none"/>
          <w:lang w:eastAsia="zh-CN"/>
        </w:rPr>
        <w:br w:type="page"/>
      </w:r>
      <w:r>
        <w:rPr>
          <w:rFonts w:hint="eastAsia" w:ascii="Cambria" w:hAnsi="Cambria" w:eastAsia="宋体" w:cs="Times New Roman"/>
          <w:b/>
          <w:bCs/>
          <w:color w:val="auto"/>
          <w:kern w:val="32"/>
          <w:sz w:val="32"/>
          <w:szCs w:val="32"/>
          <w:highlight w:val="none"/>
          <w:lang w:val="en-US" w:eastAsia="zh-CN" w:bidi="ar-SA"/>
        </w:rPr>
        <w:t xml:space="preserve">第一章  </w:t>
      </w:r>
      <w:bookmarkEnd w:id="2"/>
      <w:bookmarkEnd w:id="3"/>
      <w:r>
        <w:rPr>
          <w:rFonts w:hint="eastAsia" w:ascii="Cambria" w:hAnsi="Cambria" w:eastAsia="宋体" w:cs="Times New Roman"/>
          <w:b/>
          <w:bCs/>
          <w:color w:val="auto"/>
          <w:kern w:val="32"/>
          <w:sz w:val="32"/>
          <w:szCs w:val="32"/>
          <w:highlight w:val="none"/>
          <w:lang w:val="en-US" w:eastAsia="zh-CN" w:bidi="ar-SA"/>
        </w:rPr>
        <w:t>投标邀请</w:t>
      </w:r>
      <w:bookmarkEnd w:id="5"/>
      <w:bookmarkEnd w:id="6"/>
      <w:bookmarkEnd w:id="7"/>
    </w:p>
    <w:p w14:paraId="59EB184C">
      <w:pPr>
        <w:keepLines w:val="0"/>
        <w:pageBreakBefore w:val="0"/>
        <w:kinsoku/>
        <w:overflowPunct/>
        <w:bidi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lang w:eastAsia="zh-CN"/>
        </w:rPr>
        <w:t>四川五邑招标代理有限公司</w:t>
      </w:r>
      <w:r>
        <w:rPr>
          <w:rFonts w:hint="eastAsia" w:ascii="宋体" w:hAnsi="宋体"/>
          <w:color w:val="auto"/>
          <w:sz w:val="24"/>
          <w:highlight w:val="none"/>
        </w:rPr>
        <w:t>受</w:t>
      </w:r>
      <w:r>
        <w:rPr>
          <w:rFonts w:hint="eastAsia" w:ascii="宋体" w:hAnsi="宋体"/>
          <w:color w:val="auto"/>
          <w:sz w:val="24"/>
          <w:highlight w:val="none"/>
          <w:lang w:eastAsia="zh-CN"/>
        </w:rPr>
        <w:t>凉山彝族自治州消防救援支队</w:t>
      </w:r>
      <w:r>
        <w:rPr>
          <w:rFonts w:hint="eastAsia" w:ascii="宋体" w:hAnsi="宋体"/>
          <w:color w:val="auto"/>
          <w:sz w:val="24"/>
          <w:highlight w:val="none"/>
        </w:rPr>
        <w:t>委托，拟对“</w:t>
      </w:r>
      <w:r>
        <w:rPr>
          <w:rFonts w:hint="eastAsia" w:ascii="宋体" w:hAnsi="宋体"/>
          <w:color w:val="auto"/>
          <w:sz w:val="24"/>
          <w:highlight w:val="none"/>
          <w:lang w:eastAsia="zh-CN"/>
        </w:rPr>
        <w:t>四川省凉山州消防救援支队室内烟火特性训练设施服务采购项目（二次）</w:t>
      </w:r>
      <w:r>
        <w:rPr>
          <w:rFonts w:hint="eastAsia" w:ascii="宋体" w:hAnsi="宋体"/>
          <w:color w:val="auto"/>
          <w:sz w:val="24"/>
          <w:highlight w:val="none"/>
        </w:rPr>
        <w:t>”进行国内公开招标，兹邀请符合本次招标要求的供应商参加投标。</w:t>
      </w:r>
    </w:p>
    <w:p w14:paraId="10F68488">
      <w:pPr>
        <w:keepLines w:val="0"/>
        <w:pageBreakBefore w:val="0"/>
        <w:kinsoku/>
        <w:overflowPunct/>
        <w:bidi w:val="0"/>
        <w:spacing w:line="360" w:lineRule="auto"/>
        <w:rPr>
          <w:rFonts w:hint="eastAsia" w:ascii="宋体" w:hAnsi="宋体"/>
          <w:color w:val="auto"/>
          <w:sz w:val="24"/>
          <w:highlight w:val="none"/>
          <w:lang w:eastAsia="zh-CN"/>
        </w:rPr>
      </w:pPr>
      <w:r>
        <w:rPr>
          <w:rFonts w:hint="eastAsia" w:ascii="宋体" w:hAnsi="宋体"/>
          <w:b/>
          <w:bCs/>
          <w:color w:val="auto"/>
          <w:sz w:val="24"/>
          <w:highlight w:val="none"/>
          <w:lang w:eastAsia="zh-CN"/>
        </w:rPr>
        <w:t>一、招标编号：</w:t>
      </w:r>
      <w:r>
        <w:rPr>
          <w:rFonts w:hint="eastAsia" w:ascii="宋体" w:hAnsi="宋体"/>
          <w:color w:val="auto"/>
          <w:sz w:val="24"/>
          <w:highlight w:val="none"/>
          <w:lang w:eastAsia="zh-CN"/>
        </w:rPr>
        <w:t>SCWYZB-LSGZ-2025-122301</w:t>
      </w:r>
    </w:p>
    <w:p w14:paraId="308E61C7">
      <w:pPr>
        <w:keepLines w:val="0"/>
        <w:pageBreakBefore w:val="0"/>
        <w:kinsoku/>
        <w:overflowPunct/>
        <w:bidi w:val="0"/>
        <w:spacing w:line="360" w:lineRule="auto"/>
        <w:rPr>
          <w:rFonts w:hint="eastAsia" w:ascii="宋体" w:hAnsi="宋体"/>
          <w:color w:val="auto"/>
          <w:sz w:val="24"/>
          <w:highlight w:val="none"/>
          <w:lang w:eastAsia="zh-CN"/>
        </w:rPr>
      </w:pPr>
      <w:r>
        <w:rPr>
          <w:rFonts w:hint="eastAsia" w:ascii="宋体" w:hAnsi="宋体"/>
          <w:b/>
          <w:bCs/>
          <w:color w:val="auto"/>
          <w:sz w:val="24"/>
          <w:highlight w:val="none"/>
          <w:lang w:eastAsia="zh-CN"/>
        </w:rPr>
        <w:t>二、招标项目：</w:t>
      </w:r>
      <w:r>
        <w:rPr>
          <w:rFonts w:hint="eastAsia" w:ascii="宋体" w:hAnsi="宋体"/>
          <w:color w:val="auto"/>
          <w:sz w:val="24"/>
          <w:highlight w:val="none"/>
          <w:lang w:eastAsia="zh-CN"/>
        </w:rPr>
        <w:t>四川省凉山州消防救援支队室内烟火特性训练设施服务采购项目（二次）</w:t>
      </w:r>
    </w:p>
    <w:p w14:paraId="322D7EA9">
      <w:pPr>
        <w:keepLines w:val="0"/>
        <w:pageBreakBefore w:val="0"/>
        <w:kinsoku/>
        <w:overflowPunct/>
        <w:bidi w:val="0"/>
        <w:spacing w:line="360" w:lineRule="auto"/>
        <w:rPr>
          <w:rFonts w:hint="eastAsia" w:ascii="宋体" w:hAnsi="宋体"/>
          <w:color w:val="auto"/>
          <w:sz w:val="24"/>
          <w:highlight w:val="none"/>
          <w:lang w:eastAsia="zh-CN"/>
        </w:rPr>
      </w:pPr>
      <w:r>
        <w:rPr>
          <w:rFonts w:hint="eastAsia" w:ascii="宋体" w:hAnsi="宋体"/>
          <w:b/>
          <w:bCs/>
          <w:color w:val="auto"/>
          <w:sz w:val="24"/>
          <w:highlight w:val="none"/>
          <w:lang w:eastAsia="zh-CN"/>
        </w:rPr>
        <w:t>三、资金</w:t>
      </w:r>
      <w:r>
        <w:rPr>
          <w:rFonts w:hint="eastAsia" w:ascii="宋体" w:hAnsi="宋体"/>
          <w:b/>
          <w:bCs/>
          <w:color w:val="auto"/>
          <w:sz w:val="24"/>
          <w:highlight w:val="none"/>
          <w:lang w:val="en-US" w:eastAsia="zh-CN"/>
        </w:rPr>
        <w:t>情况</w:t>
      </w:r>
      <w:r>
        <w:rPr>
          <w:rFonts w:hint="eastAsia" w:ascii="宋体" w:hAnsi="宋体"/>
          <w:b/>
          <w:bCs/>
          <w:color w:val="auto"/>
          <w:sz w:val="24"/>
          <w:highlight w:val="none"/>
          <w:lang w:eastAsia="zh-CN"/>
        </w:rPr>
        <w:t>：</w:t>
      </w:r>
      <w:r>
        <w:rPr>
          <w:rFonts w:hint="eastAsia" w:ascii="宋体" w:hAnsi="宋体"/>
          <w:color w:val="auto"/>
          <w:sz w:val="24"/>
          <w:highlight w:val="none"/>
          <w:lang w:eastAsia="zh-CN"/>
        </w:rPr>
        <w:t>已落实。</w:t>
      </w:r>
    </w:p>
    <w:p w14:paraId="0046D3CB">
      <w:pPr>
        <w:keepLines w:val="0"/>
        <w:pageBreakBefore w:val="0"/>
        <w:kinsoku/>
        <w:overflowPunct/>
        <w:bidi w:val="0"/>
        <w:spacing w:line="360" w:lineRule="auto"/>
        <w:rPr>
          <w:rFonts w:hint="eastAsia" w:ascii="宋体" w:hAnsi="宋体"/>
          <w:color w:val="auto"/>
          <w:sz w:val="24"/>
          <w:highlight w:val="none"/>
          <w:lang w:eastAsia="zh-CN"/>
        </w:rPr>
      </w:pPr>
      <w:r>
        <w:rPr>
          <w:rFonts w:hint="eastAsia" w:ascii="宋体" w:hAnsi="宋体"/>
          <w:b/>
          <w:bCs/>
          <w:color w:val="auto"/>
          <w:sz w:val="24"/>
          <w:highlight w:val="none"/>
          <w:lang w:eastAsia="zh-CN"/>
        </w:rPr>
        <w:t>四、招标项目简介：</w:t>
      </w:r>
      <w:r>
        <w:rPr>
          <w:rFonts w:hint="eastAsia" w:ascii="宋体" w:hAnsi="宋体"/>
          <w:color w:val="auto"/>
          <w:sz w:val="24"/>
          <w:highlight w:val="none"/>
          <w:lang w:eastAsia="zh-CN"/>
        </w:rPr>
        <w:t>本项目共1个包，采购内容：室内烟火特性训练设施（具体详见第六章“本项目技术、服务、政府采购履约主要条款及其他要求条款”）</w:t>
      </w:r>
    </w:p>
    <w:p w14:paraId="2EFCFAAB">
      <w:pPr>
        <w:keepLines w:val="0"/>
        <w:pageBreakBefore w:val="0"/>
        <w:kinsoku/>
        <w:overflowPunct/>
        <w:bidi w:val="0"/>
        <w:spacing w:line="360" w:lineRule="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五、供应商参加本次</w:t>
      </w:r>
      <w:r>
        <w:rPr>
          <w:rFonts w:hint="eastAsia" w:ascii="宋体" w:hAnsi="宋体"/>
          <w:b/>
          <w:bCs/>
          <w:color w:val="auto"/>
          <w:sz w:val="24"/>
          <w:highlight w:val="none"/>
          <w:lang w:val="en-US" w:eastAsia="zh-CN"/>
        </w:rPr>
        <w:t>采购活动</w:t>
      </w:r>
      <w:r>
        <w:rPr>
          <w:rFonts w:hint="eastAsia" w:ascii="宋体" w:hAnsi="宋体"/>
          <w:b/>
          <w:bCs/>
          <w:color w:val="auto"/>
          <w:sz w:val="24"/>
          <w:highlight w:val="none"/>
          <w:lang w:eastAsia="zh-CN"/>
        </w:rPr>
        <w:t>，应当在提交投标文件前具备下列条件：</w:t>
      </w:r>
    </w:p>
    <w:p w14:paraId="0DC175F5">
      <w:pPr>
        <w:keepLines w:val="0"/>
        <w:pageBreakBefore w:val="0"/>
        <w:kinsoku/>
        <w:overflowPunct/>
        <w:bidi w:val="0"/>
        <w:spacing w:line="360" w:lineRule="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（一）投标人应具备</w:t>
      </w:r>
      <w:r>
        <w:rPr>
          <w:rFonts w:hint="eastAsia" w:ascii="宋体" w:hAnsi="宋体"/>
          <w:b/>
          <w:bCs/>
          <w:color w:val="auto"/>
          <w:sz w:val="24"/>
          <w:highlight w:val="none"/>
          <w:lang w:val="en-US" w:eastAsia="zh-CN"/>
        </w:rPr>
        <w:t>以下基本条件</w:t>
      </w:r>
      <w:r>
        <w:rPr>
          <w:rFonts w:hint="eastAsia" w:ascii="宋体" w:hAnsi="宋体"/>
          <w:b/>
          <w:bCs/>
          <w:color w:val="auto"/>
          <w:sz w:val="24"/>
          <w:highlight w:val="none"/>
          <w:lang w:eastAsia="zh-CN"/>
        </w:rPr>
        <w:t>：</w:t>
      </w:r>
    </w:p>
    <w:p w14:paraId="38EE1689">
      <w:pPr>
        <w:pStyle w:val="109"/>
        <w:keepLines w:val="0"/>
        <w:pageBreakBefore w:val="0"/>
        <w:kinsoku/>
        <w:overflowPunct/>
        <w:bidi w:val="0"/>
        <w:spacing w:line="360" w:lineRule="auto"/>
        <w:ind w:firstLine="240" w:firstLineChars="100"/>
        <w:rPr>
          <w:rFonts w:hint="eastAsia" w:hAnsi="宋体" w:cs="宋体"/>
          <w:b w:val="0"/>
          <w:bCs/>
          <w:color w:val="auto"/>
          <w:highlight w:val="none"/>
        </w:rPr>
      </w:pPr>
      <w:r>
        <w:rPr>
          <w:rFonts w:hint="eastAsia" w:hAnsi="宋体" w:cs="宋体"/>
          <w:b w:val="0"/>
          <w:bCs/>
          <w:color w:val="auto"/>
          <w:highlight w:val="none"/>
        </w:rPr>
        <w:t>1.具有独立承担民事责任的能力；</w:t>
      </w:r>
    </w:p>
    <w:p w14:paraId="7E9D818B">
      <w:pPr>
        <w:pStyle w:val="109"/>
        <w:keepLines w:val="0"/>
        <w:pageBreakBefore w:val="0"/>
        <w:kinsoku/>
        <w:overflowPunct/>
        <w:bidi w:val="0"/>
        <w:spacing w:line="360" w:lineRule="auto"/>
        <w:ind w:firstLine="240" w:firstLineChars="100"/>
        <w:rPr>
          <w:rFonts w:hint="eastAsia" w:hAnsi="宋体" w:cs="宋体"/>
          <w:b w:val="0"/>
          <w:bCs/>
          <w:color w:val="auto"/>
          <w:highlight w:val="none"/>
        </w:rPr>
      </w:pPr>
      <w:r>
        <w:rPr>
          <w:rFonts w:hint="eastAsia" w:hAnsi="宋体" w:cs="宋体"/>
          <w:b w:val="0"/>
          <w:bCs/>
          <w:color w:val="auto"/>
          <w:highlight w:val="none"/>
          <w:lang w:val="en-US" w:eastAsia="zh-CN"/>
        </w:rPr>
        <w:t>2</w:t>
      </w:r>
      <w:r>
        <w:rPr>
          <w:rFonts w:hint="eastAsia" w:hAnsi="宋体" w:cs="宋体"/>
          <w:b w:val="0"/>
          <w:bCs/>
          <w:color w:val="auto"/>
          <w:highlight w:val="none"/>
        </w:rPr>
        <w:t>.具有良好的商业信誉和健全的财务会计制度；</w:t>
      </w:r>
    </w:p>
    <w:p w14:paraId="58B69FF0">
      <w:pPr>
        <w:pStyle w:val="109"/>
        <w:keepLines w:val="0"/>
        <w:pageBreakBefore w:val="0"/>
        <w:kinsoku/>
        <w:overflowPunct/>
        <w:bidi w:val="0"/>
        <w:spacing w:line="360" w:lineRule="auto"/>
        <w:ind w:firstLine="240" w:firstLineChars="100"/>
        <w:rPr>
          <w:rFonts w:hint="eastAsia" w:hAnsi="宋体" w:cs="宋体"/>
          <w:b w:val="0"/>
          <w:bCs/>
          <w:color w:val="auto"/>
          <w:highlight w:val="none"/>
        </w:rPr>
      </w:pPr>
      <w:r>
        <w:rPr>
          <w:rFonts w:hint="eastAsia" w:hAnsi="宋体" w:cs="宋体"/>
          <w:b w:val="0"/>
          <w:bCs/>
          <w:color w:val="auto"/>
          <w:highlight w:val="none"/>
          <w:lang w:val="en-US" w:eastAsia="zh-CN"/>
        </w:rPr>
        <w:t>3</w:t>
      </w:r>
      <w:r>
        <w:rPr>
          <w:rFonts w:hint="eastAsia" w:hAnsi="宋体" w:cs="宋体"/>
          <w:b w:val="0"/>
          <w:bCs/>
          <w:color w:val="auto"/>
          <w:highlight w:val="none"/>
        </w:rPr>
        <w:t>.具有履行合同所必需的设备和专业技术能力；</w:t>
      </w:r>
    </w:p>
    <w:p w14:paraId="6D71E122">
      <w:pPr>
        <w:pStyle w:val="109"/>
        <w:keepLines w:val="0"/>
        <w:pageBreakBefore w:val="0"/>
        <w:kinsoku/>
        <w:overflowPunct/>
        <w:bidi w:val="0"/>
        <w:spacing w:line="360" w:lineRule="auto"/>
        <w:ind w:firstLine="240" w:firstLineChars="100"/>
        <w:rPr>
          <w:rFonts w:hint="eastAsia" w:hAnsi="宋体" w:cs="宋体"/>
          <w:b w:val="0"/>
          <w:bCs/>
          <w:color w:val="auto"/>
          <w:highlight w:val="none"/>
        </w:rPr>
      </w:pPr>
      <w:r>
        <w:rPr>
          <w:rFonts w:hint="eastAsia" w:hAnsi="宋体" w:cs="宋体"/>
          <w:b w:val="0"/>
          <w:bCs/>
          <w:color w:val="auto"/>
          <w:highlight w:val="none"/>
          <w:lang w:val="en-US" w:eastAsia="zh-CN"/>
        </w:rPr>
        <w:t>4</w:t>
      </w:r>
      <w:r>
        <w:rPr>
          <w:rFonts w:hint="eastAsia" w:hAnsi="宋体" w:cs="宋体"/>
          <w:b w:val="0"/>
          <w:bCs/>
          <w:color w:val="auto"/>
          <w:highlight w:val="none"/>
        </w:rPr>
        <w:t>.有依法缴纳税收和社会保障资金的良好记录；</w:t>
      </w:r>
      <w:r>
        <w:rPr>
          <w:rFonts w:hint="eastAsia" w:hAnsi="宋体" w:cs="宋体"/>
          <w:b w:val="0"/>
          <w:bCs/>
          <w:color w:val="auto"/>
          <w:highlight w:val="none"/>
        </w:rPr>
        <w:tab/>
      </w:r>
    </w:p>
    <w:p w14:paraId="21161A6B">
      <w:pPr>
        <w:pStyle w:val="109"/>
        <w:keepLines w:val="0"/>
        <w:pageBreakBefore w:val="0"/>
        <w:kinsoku/>
        <w:overflowPunct/>
        <w:bidi w:val="0"/>
        <w:spacing w:line="360" w:lineRule="auto"/>
        <w:ind w:firstLine="240" w:firstLineChars="100"/>
        <w:rPr>
          <w:rFonts w:hint="eastAsia" w:hAnsi="宋体" w:cs="宋体"/>
          <w:b w:val="0"/>
          <w:bCs/>
          <w:color w:val="auto"/>
          <w:highlight w:val="none"/>
        </w:rPr>
      </w:pPr>
      <w:r>
        <w:rPr>
          <w:rFonts w:hint="eastAsia" w:hAnsi="宋体" w:cs="宋体"/>
          <w:b w:val="0"/>
          <w:bCs/>
          <w:color w:val="auto"/>
          <w:highlight w:val="none"/>
          <w:lang w:val="en-US" w:eastAsia="zh-CN"/>
        </w:rPr>
        <w:t>5</w:t>
      </w:r>
      <w:r>
        <w:rPr>
          <w:rFonts w:hint="eastAsia" w:hAnsi="宋体" w:cs="宋体"/>
          <w:b w:val="0"/>
          <w:bCs/>
          <w:color w:val="auto"/>
          <w:highlight w:val="none"/>
        </w:rPr>
        <w:t>.参加</w:t>
      </w:r>
      <w:r>
        <w:rPr>
          <w:rFonts w:hint="eastAsia" w:hAnsi="宋体" w:cs="宋体"/>
          <w:b w:val="0"/>
          <w:bCs/>
          <w:color w:val="auto"/>
          <w:highlight w:val="none"/>
          <w:lang w:eastAsia="zh-CN"/>
        </w:rPr>
        <w:t>采购活动</w:t>
      </w:r>
      <w:r>
        <w:rPr>
          <w:rFonts w:hint="eastAsia" w:hAnsi="宋体" w:cs="宋体"/>
          <w:b w:val="0"/>
          <w:bCs/>
          <w:color w:val="auto"/>
          <w:highlight w:val="none"/>
        </w:rPr>
        <w:t>前三年内，在经营活动中没有重大违法记录；</w:t>
      </w:r>
      <w:r>
        <w:rPr>
          <w:rFonts w:hint="eastAsia" w:hAnsi="宋体" w:cs="宋体"/>
          <w:b w:val="0"/>
          <w:bCs/>
          <w:color w:val="auto"/>
          <w:highlight w:val="none"/>
        </w:rPr>
        <w:tab/>
      </w:r>
    </w:p>
    <w:p w14:paraId="3A243602">
      <w:pPr>
        <w:pStyle w:val="109"/>
        <w:keepLines w:val="0"/>
        <w:pageBreakBefore w:val="0"/>
        <w:kinsoku/>
        <w:overflowPunct/>
        <w:bidi w:val="0"/>
        <w:spacing w:line="360" w:lineRule="auto"/>
        <w:ind w:firstLine="240" w:firstLineChars="100"/>
        <w:rPr>
          <w:rFonts w:hint="eastAsia" w:hAnsi="宋体" w:cs="宋体"/>
          <w:b w:val="0"/>
          <w:bCs/>
          <w:color w:val="auto"/>
          <w:highlight w:val="none"/>
        </w:rPr>
      </w:pPr>
      <w:r>
        <w:rPr>
          <w:rFonts w:hint="eastAsia" w:hAnsi="宋体" w:cs="宋体"/>
          <w:b w:val="0"/>
          <w:bCs/>
          <w:color w:val="auto"/>
          <w:highlight w:val="none"/>
          <w:lang w:val="en-US" w:eastAsia="zh-CN"/>
        </w:rPr>
        <w:t>6</w:t>
      </w:r>
      <w:r>
        <w:rPr>
          <w:rFonts w:hint="eastAsia" w:hAnsi="宋体" w:cs="宋体"/>
          <w:b w:val="0"/>
          <w:bCs/>
          <w:color w:val="auto"/>
          <w:highlight w:val="none"/>
        </w:rPr>
        <w:t>.法律、行政法规规定的其他条件。</w:t>
      </w:r>
    </w:p>
    <w:p w14:paraId="32778CE3">
      <w:pPr>
        <w:pStyle w:val="109"/>
        <w:keepLines w:val="0"/>
        <w:pageBreakBefore w:val="0"/>
        <w:kinsoku/>
        <w:overflowPunct/>
        <w:bidi w:val="0"/>
        <w:spacing w:line="360" w:lineRule="auto"/>
        <w:ind w:firstLine="0" w:firstLineChars="0"/>
        <w:rPr>
          <w:b/>
          <w:color w:val="auto"/>
          <w:highlight w:val="none"/>
        </w:rPr>
      </w:pPr>
      <w:r>
        <w:rPr>
          <w:rFonts w:hint="eastAsia" w:hAnsi="宋体" w:cs="宋体"/>
          <w:b/>
          <w:color w:val="auto"/>
          <w:highlight w:val="none"/>
          <w:lang w:eastAsia="zh-CN"/>
        </w:rPr>
        <w:t>（二）</w:t>
      </w:r>
      <w:r>
        <w:rPr>
          <w:rFonts w:hint="eastAsia" w:hAnsi="宋体" w:cs="宋体"/>
          <w:b/>
          <w:color w:val="auto"/>
          <w:highlight w:val="none"/>
        </w:rPr>
        <w:t>根据采购项目提出的特</w:t>
      </w:r>
      <w:r>
        <w:rPr>
          <w:rFonts w:hint="eastAsia"/>
          <w:b/>
          <w:color w:val="auto"/>
          <w:highlight w:val="none"/>
        </w:rPr>
        <w:t>殊条件：</w:t>
      </w:r>
    </w:p>
    <w:p w14:paraId="51DF74C5">
      <w:pPr>
        <w:pStyle w:val="18"/>
        <w:keepLines w:val="0"/>
        <w:pageBreakBefore w:val="0"/>
        <w:kinsoku/>
        <w:overflowPunct/>
        <w:bidi w:val="0"/>
        <w:spacing w:line="360" w:lineRule="auto"/>
        <w:ind w:firstLine="240" w:firstLineChars="100"/>
        <w:rPr>
          <w:rFonts w:hint="eastAsia" w:hAnsi="宋体" w:cs="宋体"/>
          <w:color w:val="auto"/>
          <w:kern w:val="0"/>
          <w:sz w:val="24"/>
          <w:highlight w:val="none"/>
        </w:rPr>
      </w:pPr>
      <w:r>
        <w:rPr>
          <w:rFonts w:hint="eastAsia" w:hAnsi="宋体" w:cs="宋体"/>
          <w:color w:val="auto"/>
          <w:kern w:val="0"/>
          <w:sz w:val="24"/>
          <w:highlight w:val="none"/>
          <w:lang w:val="en-US" w:eastAsia="zh-CN"/>
        </w:rPr>
        <w:t>1.</w:t>
      </w:r>
      <w:r>
        <w:rPr>
          <w:rFonts w:hint="eastAsia" w:hAnsi="宋体" w:cs="宋体"/>
          <w:color w:val="auto"/>
          <w:kern w:val="0"/>
          <w:sz w:val="24"/>
          <w:highlight w:val="none"/>
        </w:rPr>
        <w:t>本项目不接受联合体投标。</w:t>
      </w:r>
    </w:p>
    <w:p w14:paraId="0AE699D6">
      <w:pPr>
        <w:keepLines w:val="0"/>
        <w:pageBreakBefore w:val="0"/>
        <w:kinsoku/>
        <w:overflowPunct/>
        <w:bidi w:val="0"/>
        <w:spacing w:line="360" w:lineRule="auto"/>
        <w:rPr>
          <w:rFonts w:ascii="宋体" w:hAnsi="宋体"/>
          <w:b/>
          <w:color w:val="auto"/>
          <w:sz w:val="24"/>
          <w:highlight w:val="none"/>
        </w:rPr>
      </w:pPr>
      <w:r>
        <w:rPr>
          <w:rFonts w:hint="eastAsia" w:ascii="宋体" w:hAnsi="宋体"/>
          <w:b/>
          <w:color w:val="auto"/>
          <w:sz w:val="24"/>
          <w:highlight w:val="none"/>
        </w:rPr>
        <w:t>六、严禁参加本次采购活动的供应商</w:t>
      </w:r>
    </w:p>
    <w:p w14:paraId="410BDFCA">
      <w:pPr>
        <w:keepLines w:val="0"/>
        <w:pageBreakBefore w:val="0"/>
        <w:kinsoku/>
        <w:overflowPunct/>
        <w:bidi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lang w:eastAsia="zh-CN"/>
        </w:rPr>
        <w:t>（一）</w:t>
      </w:r>
      <w:r>
        <w:rPr>
          <w:rFonts w:hint="eastAsia" w:ascii="宋体" w:hAnsi="宋体"/>
          <w:color w:val="auto"/>
          <w:sz w:val="24"/>
          <w:highlight w:val="none"/>
        </w:rPr>
        <w:t>根据《关于在政府采购活动中查询及使用信用记录有关问题的通知》（财库〔2016〕125号）的要求，采购代理机构将通过“信用中国”网站（www.creditchina.gov.cn）、“中国政府采购网”网站（www.ccgp.gov.cn）等渠道查询供应商递交投标文件截止时间前的信用记录并保存信用记录结果网页截图，拒绝列入失信被执行人名单、重大税收违法案件当事人名单、政府采购严重违法失信行为记录名单中的供应商报名参加本项目的采购活动</w:t>
      </w:r>
      <w:r>
        <w:rPr>
          <w:rFonts w:hint="eastAsia" w:hAnsi="宋体" w:cs="宋体"/>
          <w:color w:val="auto"/>
          <w:highlight w:val="none"/>
        </w:rPr>
        <w:t>（以联合体形式参加本项目采购活动，联合体成员存在不良信用记录的，视同联合体存在不良信用记录）</w:t>
      </w:r>
      <w:r>
        <w:rPr>
          <w:rFonts w:hint="eastAsia" w:ascii="宋体" w:hAnsi="宋体"/>
          <w:color w:val="auto"/>
          <w:sz w:val="24"/>
          <w:highlight w:val="none"/>
        </w:rPr>
        <w:t>。</w:t>
      </w:r>
    </w:p>
    <w:p w14:paraId="6082CAF7">
      <w:pPr>
        <w:keepLines w:val="0"/>
        <w:pageBreakBefore w:val="0"/>
        <w:kinsoku/>
        <w:overflowPunct/>
        <w:bidi w:val="0"/>
        <w:spacing w:line="360" w:lineRule="auto"/>
        <w:ind w:firstLine="480" w:firstLineChars="200"/>
        <w:rPr>
          <w:rFonts w:ascii="宋体" w:hAnsi="宋体"/>
          <w:color w:val="auto"/>
          <w:sz w:val="24"/>
          <w:highlight w:val="none"/>
        </w:rPr>
      </w:pPr>
      <w:r>
        <w:rPr>
          <w:rFonts w:hint="eastAsia" w:ascii="宋体" w:hAnsi="宋体"/>
          <w:color w:val="auto"/>
          <w:sz w:val="24"/>
          <w:highlight w:val="none"/>
          <w:lang w:eastAsia="zh-CN"/>
        </w:rPr>
        <w:t>（二）</w:t>
      </w:r>
      <w:r>
        <w:rPr>
          <w:rFonts w:hint="eastAsia" w:ascii="宋体" w:hAnsi="宋体"/>
          <w:color w:val="auto"/>
          <w:sz w:val="24"/>
          <w:highlight w:val="none"/>
        </w:rPr>
        <w:t>为采购项目提供整体设计、规范编制或者项目管理、监理、检测等服务的供应商，不得参加本采购项目。供应商为采购人、采购代理机构在确定采购需求、编制</w:t>
      </w:r>
      <w:r>
        <w:rPr>
          <w:rFonts w:hint="eastAsia" w:ascii="宋体" w:hAnsi="宋体"/>
          <w:color w:val="auto"/>
          <w:sz w:val="24"/>
          <w:highlight w:val="none"/>
          <w:lang w:eastAsia="zh-CN"/>
        </w:rPr>
        <w:t>招标</w:t>
      </w:r>
      <w:r>
        <w:rPr>
          <w:rFonts w:hint="eastAsia" w:ascii="宋体" w:hAnsi="宋体"/>
          <w:color w:val="auto"/>
          <w:sz w:val="24"/>
          <w:highlight w:val="none"/>
        </w:rPr>
        <w:t>文件过程中提供咨询论证，其提供的咨询论证意见成为</w:t>
      </w:r>
      <w:r>
        <w:rPr>
          <w:rFonts w:hint="eastAsia" w:ascii="宋体" w:hAnsi="宋体"/>
          <w:color w:val="auto"/>
          <w:sz w:val="24"/>
          <w:highlight w:val="none"/>
          <w:lang w:eastAsia="zh-CN"/>
        </w:rPr>
        <w:t>招标</w:t>
      </w:r>
      <w:r>
        <w:rPr>
          <w:rFonts w:hint="eastAsia" w:ascii="宋体" w:hAnsi="宋体"/>
          <w:color w:val="auto"/>
          <w:sz w:val="24"/>
          <w:highlight w:val="none"/>
        </w:rPr>
        <w:t>文件中规定的供应商资格条件、</w:t>
      </w:r>
      <w:r>
        <w:rPr>
          <w:rFonts w:hint="eastAsia" w:ascii="宋体" w:hAnsi="宋体"/>
          <w:color w:val="auto"/>
          <w:sz w:val="24"/>
          <w:highlight w:val="none"/>
          <w:lang w:eastAsia="zh-CN"/>
        </w:rPr>
        <w:t>技术</w:t>
      </w:r>
      <w:r>
        <w:rPr>
          <w:rFonts w:hint="eastAsia" w:ascii="宋体" w:hAnsi="宋体"/>
          <w:color w:val="auto"/>
          <w:sz w:val="24"/>
          <w:highlight w:val="none"/>
        </w:rPr>
        <w:t>服务商务要求、评审因素和标准、采购合同等实质性内容条款的，视同为采购项目提供规范编制。</w:t>
      </w:r>
    </w:p>
    <w:p w14:paraId="6B2B72CB">
      <w:pPr>
        <w:keepLines w:val="0"/>
        <w:pageBreakBefore w:val="0"/>
        <w:kinsoku/>
        <w:overflowPunct/>
        <w:bidi w:val="0"/>
        <w:spacing w:line="360" w:lineRule="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七、招标文件获取时间、地点及售价：</w:t>
      </w:r>
    </w:p>
    <w:p w14:paraId="07055079">
      <w:pPr>
        <w:keepLines w:val="0"/>
        <w:pageBreakBefore w:val="0"/>
        <w:kinsoku/>
        <w:overflowPunct/>
        <w:bidi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lang w:eastAsia="zh-CN"/>
        </w:rPr>
        <w:t>（一）</w:t>
      </w:r>
      <w:r>
        <w:rPr>
          <w:rFonts w:hint="eastAsia" w:ascii="宋体" w:hAnsi="宋体"/>
          <w:color w:val="auto"/>
          <w:sz w:val="24"/>
          <w:highlight w:val="none"/>
        </w:rPr>
        <w:t>招标文件获取时间期限：自</w:t>
      </w:r>
      <w:r>
        <w:rPr>
          <w:rFonts w:hint="eastAsia" w:ascii="宋体" w:hAnsi="宋体"/>
          <w:color w:val="auto"/>
          <w:sz w:val="24"/>
          <w:highlight w:val="none"/>
          <w:lang w:eastAsia="zh-CN"/>
        </w:rPr>
        <w:t>202</w:t>
      </w:r>
      <w:r>
        <w:rPr>
          <w:rFonts w:hint="eastAsia" w:ascii="宋体" w:hAnsi="宋体"/>
          <w:color w:val="auto"/>
          <w:sz w:val="24"/>
          <w:highlight w:val="none"/>
          <w:lang w:val="en-US" w:eastAsia="zh-CN"/>
        </w:rPr>
        <w:t>6</w:t>
      </w:r>
      <w:r>
        <w:rPr>
          <w:rFonts w:hint="eastAsia" w:ascii="宋体" w:hAnsi="宋体"/>
          <w:color w:val="auto"/>
          <w:sz w:val="24"/>
          <w:highlight w:val="none"/>
          <w:lang w:eastAsia="zh-CN"/>
        </w:rPr>
        <w:t>年</w:t>
      </w:r>
      <w:r>
        <w:rPr>
          <w:rFonts w:hint="eastAsia" w:ascii="宋体" w:hAnsi="宋体"/>
          <w:color w:val="auto"/>
          <w:sz w:val="24"/>
          <w:highlight w:val="none"/>
          <w:lang w:val="en-US" w:eastAsia="zh-CN"/>
        </w:rPr>
        <w:t>02</w:t>
      </w:r>
      <w:r>
        <w:rPr>
          <w:rFonts w:hint="eastAsia" w:ascii="宋体" w:hAnsi="宋体"/>
          <w:color w:val="auto"/>
          <w:sz w:val="24"/>
          <w:highlight w:val="none"/>
        </w:rPr>
        <w:t>月</w:t>
      </w:r>
      <w:r>
        <w:rPr>
          <w:rFonts w:hint="eastAsia" w:ascii="宋体" w:hAnsi="宋体"/>
          <w:color w:val="auto"/>
          <w:sz w:val="24"/>
          <w:highlight w:val="none"/>
          <w:lang w:val="en-US" w:eastAsia="zh-CN"/>
        </w:rPr>
        <w:t>09</w:t>
      </w:r>
      <w:r>
        <w:rPr>
          <w:rFonts w:hint="eastAsia" w:ascii="宋体" w:hAnsi="宋体"/>
          <w:color w:val="auto"/>
          <w:sz w:val="24"/>
          <w:highlight w:val="none"/>
        </w:rPr>
        <w:t>日到</w:t>
      </w:r>
      <w:r>
        <w:rPr>
          <w:rFonts w:hint="eastAsia" w:ascii="宋体" w:hAnsi="宋体"/>
          <w:color w:val="auto"/>
          <w:sz w:val="24"/>
          <w:highlight w:val="none"/>
          <w:lang w:eastAsia="zh-CN"/>
        </w:rPr>
        <w:t>202</w:t>
      </w:r>
      <w:r>
        <w:rPr>
          <w:rFonts w:hint="eastAsia" w:ascii="宋体" w:hAnsi="宋体"/>
          <w:color w:val="auto"/>
          <w:sz w:val="24"/>
          <w:highlight w:val="none"/>
          <w:lang w:val="en-US" w:eastAsia="zh-CN"/>
        </w:rPr>
        <w:t>6</w:t>
      </w:r>
      <w:r>
        <w:rPr>
          <w:rFonts w:hint="eastAsia" w:ascii="宋体" w:hAnsi="宋体"/>
          <w:color w:val="auto"/>
          <w:sz w:val="24"/>
          <w:highlight w:val="none"/>
          <w:lang w:eastAsia="zh-CN"/>
        </w:rPr>
        <w:t>年</w:t>
      </w:r>
      <w:r>
        <w:rPr>
          <w:rFonts w:hint="eastAsia" w:ascii="宋体" w:hAnsi="宋体"/>
          <w:color w:val="auto"/>
          <w:sz w:val="24"/>
          <w:highlight w:val="none"/>
          <w:lang w:val="en-US" w:eastAsia="zh-CN"/>
        </w:rPr>
        <w:t>02</w:t>
      </w:r>
      <w:r>
        <w:rPr>
          <w:rFonts w:hint="eastAsia" w:ascii="宋体" w:hAnsi="宋体"/>
          <w:color w:val="auto"/>
          <w:sz w:val="24"/>
          <w:highlight w:val="none"/>
        </w:rPr>
        <w:t>月</w:t>
      </w:r>
      <w:r>
        <w:rPr>
          <w:rFonts w:hint="eastAsia" w:ascii="宋体" w:hAnsi="宋体"/>
          <w:color w:val="auto"/>
          <w:sz w:val="24"/>
          <w:highlight w:val="none"/>
          <w:lang w:val="en-US" w:eastAsia="zh-CN"/>
        </w:rPr>
        <w:t>13</w:t>
      </w:r>
      <w:r>
        <w:rPr>
          <w:rFonts w:hint="eastAsia" w:ascii="宋体" w:hAnsi="宋体"/>
          <w:color w:val="auto"/>
          <w:sz w:val="24"/>
          <w:highlight w:val="none"/>
        </w:rPr>
        <w:t>日,每天上午9:00至12:00,下午14:00至17:00（北京时间，法定节假日除外）。</w:t>
      </w:r>
    </w:p>
    <w:p w14:paraId="575D4DA4">
      <w:pPr>
        <w:wordWrap w:val="0"/>
        <w:spacing w:line="360" w:lineRule="auto"/>
        <w:ind w:firstLine="480" w:firstLineChars="200"/>
        <w:rPr>
          <w:rFonts w:asciiTheme="minorEastAsia" w:hAnsiTheme="minorEastAsia" w:eastAsiaTheme="minorEastAsia" w:cstheme="minorEastAsia"/>
          <w:bCs/>
          <w:color w:val="auto"/>
          <w:kern w:val="1"/>
          <w:sz w:val="24"/>
          <w:highlight w:val="none"/>
        </w:rPr>
      </w:pPr>
      <w:r>
        <w:rPr>
          <w:rFonts w:hint="eastAsia" w:ascii="宋体" w:hAnsi="宋体"/>
          <w:color w:val="auto"/>
          <w:sz w:val="24"/>
          <w:highlight w:val="none"/>
          <w:lang w:eastAsia="zh-CN"/>
        </w:rPr>
        <w:t>（二）</w:t>
      </w:r>
      <w:r>
        <w:rPr>
          <w:rFonts w:hint="eastAsia" w:ascii="宋体" w:hAnsi="宋体"/>
          <w:color w:val="auto"/>
          <w:sz w:val="24"/>
          <w:highlight w:val="none"/>
        </w:rPr>
        <w:t>发售方式及地址：</w:t>
      </w:r>
      <w:r>
        <w:rPr>
          <w:rFonts w:hint="eastAsia" w:ascii="宋体" w:hAnsi="宋体" w:cs="宋体"/>
          <w:bCs/>
          <w:color w:val="auto"/>
          <w:kern w:val="1"/>
          <w:sz w:val="24"/>
          <w:szCs w:val="24"/>
          <w:highlight w:val="none"/>
        </w:rPr>
        <w:t>网络获取</w:t>
      </w:r>
      <w:r>
        <w:rPr>
          <w:rFonts w:hint="eastAsia" w:ascii="宋体" w:hAnsi="宋体" w:cs="宋体"/>
          <w:bCs/>
          <w:color w:val="auto"/>
          <w:kern w:val="1"/>
          <w:sz w:val="24"/>
          <w:szCs w:val="24"/>
          <w:highlight w:val="none"/>
          <w:lang w:eastAsia="zh-CN"/>
        </w:rPr>
        <w:t>：获取磋商文件地点：凡有意参与本项目的</w:t>
      </w:r>
      <w:r>
        <w:rPr>
          <w:rFonts w:hint="eastAsia" w:hAnsi="宋体" w:cs="宋体"/>
          <w:bCs/>
          <w:color w:val="auto"/>
          <w:kern w:val="1"/>
          <w:sz w:val="24"/>
          <w:szCs w:val="24"/>
          <w:highlight w:val="none"/>
          <w:lang w:val="en-US" w:eastAsia="zh-CN"/>
        </w:rPr>
        <w:t>供应商</w:t>
      </w:r>
      <w:r>
        <w:rPr>
          <w:rFonts w:hint="eastAsia" w:ascii="宋体" w:hAnsi="宋体" w:cs="宋体"/>
          <w:bCs/>
          <w:color w:val="auto"/>
          <w:kern w:val="1"/>
          <w:sz w:val="24"/>
          <w:szCs w:val="24"/>
          <w:highlight w:val="none"/>
          <w:lang w:eastAsia="zh-CN"/>
        </w:rPr>
        <w:t>进入“四川联采招汇电子招标采购平台”(网址:http://www.sclczb.cn/)，通过“标书获取报名系统”完成在线注册、登录、缴费</w:t>
      </w:r>
      <w:r>
        <w:rPr>
          <w:rFonts w:hint="eastAsia" w:asciiTheme="minorEastAsia" w:hAnsiTheme="minorEastAsia" w:eastAsiaTheme="minorEastAsia" w:cstheme="minorEastAsia"/>
          <w:bCs/>
          <w:color w:val="auto"/>
          <w:kern w:val="1"/>
          <w:sz w:val="24"/>
          <w:highlight w:val="none"/>
        </w:rPr>
        <w:t>。</w:t>
      </w:r>
    </w:p>
    <w:p w14:paraId="3C78A16B">
      <w:pPr>
        <w:keepLines w:val="0"/>
        <w:pageBreakBefore w:val="0"/>
        <w:kinsoku/>
        <w:overflowPunct/>
        <w:bidi w:val="0"/>
        <w:spacing w:line="360" w:lineRule="auto"/>
        <w:ind w:firstLine="480" w:firstLineChars="200"/>
        <w:rPr>
          <w:rFonts w:hint="eastAsia" w:asciiTheme="minorEastAsia" w:hAnsiTheme="minorEastAsia" w:eastAsiaTheme="minorEastAsia" w:cstheme="minorEastAsia"/>
          <w:bCs/>
          <w:color w:val="auto"/>
          <w:kern w:val="1"/>
          <w:sz w:val="24"/>
          <w:highlight w:val="none"/>
        </w:rPr>
      </w:pPr>
      <w:r>
        <w:rPr>
          <w:rFonts w:hint="eastAsia" w:ascii="宋体" w:hAnsi="宋体" w:cs="宋体"/>
          <w:bCs/>
          <w:color w:val="auto"/>
          <w:kern w:val="1"/>
          <w:sz w:val="24"/>
          <w:highlight w:val="none"/>
          <w:lang w:eastAsia="zh-CN"/>
        </w:rPr>
        <w:t>（三）</w:t>
      </w:r>
      <w:r>
        <w:rPr>
          <w:rFonts w:hint="eastAsia" w:ascii="宋体" w:hAnsi="宋体" w:cs="宋体"/>
          <w:bCs/>
          <w:color w:val="auto"/>
          <w:kern w:val="1"/>
          <w:sz w:val="24"/>
          <w:highlight w:val="none"/>
        </w:rPr>
        <w:t>本次招标文件售价：人民币</w:t>
      </w:r>
      <w:r>
        <w:rPr>
          <w:rFonts w:hint="eastAsia" w:ascii="宋体" w:hAnsi="宋体" w:cs="宋体"/>
          <w:bCs/>
          <w:color w:val="auto"/>
          <w:kern w:val="1"/>
          <w:sz w:val="24"/>
          <w:highlight w:val="none"/>
          <w:lang w:val="en-US" w:eastAsia="zh-CN"/>
        </w:rPr>
        <w:t>300</w:t>
      </w:r>
      <w:r>
        <w:rPr>
          <w:rFonts w:hint="eastAsia" w:ascii="宋体" w:hAnsi="宋体" w:cs="宋体"/>
          <w:bCs/>
          <w:color w:val="auto"/>
          <w:kern w:val="1"/>
          <w:sz w:val="24"/>
          <w:highlight w:val="none"/>
        </w:rPr>
        <w:t>元/份，招标文件售后不退,投标资格不能转让。报名资料审核结果将通过邮件进行通知。</w:t>
      </w:r>
    </w:p>
    <w:p w14:paraId="4E55410D">
      <w:pPr>
        <w:keepLines w:val="0"/>
        <w:pageBreakBefore w:val="0"/>
        <w:kinsoku/>
        <w:overflowPunct/>
        <w:bidi w:val="0"/>
        <w:spacing w:line="360" w:lineRule="auto"/>
        <w:rPr>
          <w:rFonts w:hint="eastAsia" w:ascii="宋体" w:hAnsi="宋体"/>
          <w:b/>
          <w:bCs/>
          <w:color w:val="auto"/>
          <w:sz w:val="24"/>
          <w:highlight w:val="yellow"/>
          <w:lang w:eastAsia="zh-CN"/>
        </w:rPr>
      </w:pPr>
      <w:r>
        <w:rPr>
          <w:rFonts w:hint="eastAsia" w:ascii="宋体" w:hAnsi="宋体"/>
          <w:b/>
          <w:bCs/>
          <w:color w:val="auto"/>
          <w:sz w:val="24"/>
          <w:highlight w:val="none"/>
          <w:lang w:eastAsia="zh-CN"/>
        </w:rPr>
        <w:t>八、投标截止时间和开标时间：</w:t>
      </w:r>
      <w:r>
        <w:rPr>
          <w:rFonts w:hint="eastAsia" w:asciiTheme="minorEastAsia" w:hAnsiTheme="minorEastAsia" w:eastAsiaTheme="minorEastAsia" w:cstheme="minorEastAsia"/>
          <w:bCs/>
          <w:color w:val="auto"/>
          <w:kern w:val="1"/>
          <w:sz w:val="24"/>
          <w:highlight w:val="none"/>
          <w:lang w:eastAsia="zh-CN"/>
        </w:rPr>
        <w:t>202</w:t>
      </w:r>
      <w:r>
        <w:rPr>
          <w:rFonts w:hint="eastAsia" w:asciiTheme="minorEastAsia" w:hAnsiTheme="minorEastAsia" w:eastAsiaTheme="minorEastAsia" w:cstheme="minorEastAsia"/>
          <w:bCs/>
          <w:color w:val="auto"/>
          <w:kern w:val="1"/>
          <w:sz w:val="24"/>
          <w:highlight w:val="none"/>
          <w:lang w:val="en-US" w:eastAsia="zh-CN"/>
        </w:rPr>
        <w:t>6</w:t>
      </w:r>
      <w:r>
        <w:rPr>
          <w:rFonts w:hint="eastAsia" w:asciiTheme="minorEastAsia" w:hAnsiTheme="minorEastAsia" w:eastAsiaTheme="minorEastAsia" w:cstheme="minorEastAsia"/>
          <w:bCs/>
          <w:color w:val="auto"/>
          <w:kern w:val="1"/>
          <w:sz w:val="24"/>
          <w:highlight w:val="none"/>
          <w:lang w:eastAsia="zh-CN"/>
        </w:rPr>
        <w:t>年</w:t>
      </w:r>
      <w:r>
        <w:rPr>
          <w:rFonts w:hint="eastAsia" w:asciiTheme="minorEastAsia" w:hAnsiTheme="minorEastAsia" w:eastAsiaTheme="minorEastAsia" w:cstheme="minorEastAsia"/>
          <w:bCs/>
          <w:color w:val="auto"/>
          <w:kern w:val="1"/>
          <w:sz w:val="24"/>
          <w:highlight w:val="none"/>
          <w:lang w:val="en-US" w:eastAsia="zh-CN"/>
        </w:rPr>
        <w:t>02</w:t>
      </w:r>
      <w:r>
        <w:rPr>
          <w:rFonts w:hint="eastAsia" w:ascii="宋体" w:hAnsi="宋体"/>
          <w:color w:val="auto"/>
          <w:sz w:val="24"/>
          <w:highlight w:val="none"/>
        </w:rPr>
        <w:t>月</w:t>
      </w:r>
      <w:r>
        <w:rPr>
          <w:rFonts w:hint="eastAsia" w:ascii="宋体" w:hAnsi="宋体"/>
          <w:color w:val="auto"/>
          <w:sz w:val="24"/>
          <w:highlight w:val="none"/>
          <w:lang w:val="en-US" w:eastAsia="zh-CN"/>
        </w:rPr>
        <w:t>28</w:t>
      </w:r>
      <w:r>
        <w:rPr>
          <w:rFonts w:hint="eastAsia" w:ascii="宋体" w:hAnsi="宋体"/>
          <w:color w:val="auto"/>
          <w:sz w:val="24"/>
          <w:highlight w:val="none"/>
        </w:rPr>
        <w:t>日</w:t>
      </w:r>
      <w:r>
        <w:rPr>
          <w:rFonts w:hint="eastAsia" w:asciiTheme="minorEastAsia" w:hAnsiTheme="minorEastAsia" w:eastAsiaTheme="minorEastAsia" w:cstheme="minorEastAsia"/>
          <w:bCs/>
          <w:color w:val="auto"/>
          <w:kern w:val="1"/>
          <w:sz w:val="24"/>
          <w:highlight w:val="none"/>
          <w:lang w:val="en-US" w:eastAsia="zh-CN"/>
        </w:rPr>
        <w:t>14</w:t>
      </w:r>
      <w:r>
        <w:rPr>
          <w:rFonts w:hint="eastAsia" w:asciiTheme="minorEastAsia" w:hAnsiTheme="minorEastAsia" w:eastAsiaTheme="minorEastAsia" w:cstheme="minorEastAsia"/>
          <w:bCs/>
          <w:color w:val="auto"/>
          <w:kern w:val="1"/>
          <w:sz w:val="24"/>
          <w:highlight w:val="none"/>
          <w:lang w:eastAsia="zh-CN"/>
        </w:rPr>
        <w:t>时</w:t>
      </w:r>
      <w:r>
        <w:rPr>
          <w:rFonts w:hint="eastAsia" w:asciiTheme="minorEastAsia" w:hAnsiTheme="minorEastAsia" w:eastAsiaTheme="minorEastAsia" w:cstheme="minorEastAsia"/>
          <w:bCs/>
          <w:color w:val="auto"/>
          <w:kern w:val="1"/>
          <w:sz w:val="24"/>
          <w:highlight w:val="none"/>
          <w:lang w:val="en-US" w:eastAsia="zh-CN"/>
        </w:rPr>
        <w:t>30</w:t>
      </w:r>
      <w:r>
        <w:rPr>
          <w:rFonts w:hint="eastAsia" w:asciiTheme="minorEastAsia" w:hAnsiTheme="minorEastAsia" w:eastAsiaTheme="minorEastAsia" w:cstheme="minorEastAsia"/>
          <w:bCs/>
          <w:color w:val="auto"/>
          <w:kern w:val="1"/>
          <w:sz w:val="24"/>
          <w:highlight w:val="none"/>
          <w:lang w:eastAsia="zh-CN"/>
        </w:rPr>
        <w:t>分（北京时间）</w:t>
      </w:r>
      <w:r>
        <w:rPr>
          <w:rFonts w:hint="eastAsia" w:ascii="宋体" w:hAnsi="宋体"/>
          <w:b/>
          <w:bCs/>
          <w:color w:val="auto"/>
          <w:sz w:val="24"/>
          <w:highlight w:val="none"/>
          <w:lang w:eastAsia="zh-CN"/>
        </w:rPr>
        <w:t>。</w:t>
      </w:r>
    </w:p>
    <w:p w14:paraId="79B80973">
      <w:pPr>
        <w:spacing w:after="120" w:line="360" w:lineRule="auto"/>
        <w:ind w:firstLine="480" w:firstLineChars="200"/>
        <w:rPr>
          <w:rFonts w:hint="eastAsia" w:ascii="宋体" w:hAnsi="宋体"/>
          <w:b w:val="0"/>
          <w:bCs/>
          <w:color w:val="auto"/>
          <w:sz w:val="24"/>
          <w:szCs w:val="24"/>
          <w:highlight w:val="none"/>
        </w:rPr>
      </w:pPr>
      <w:r>
        <w:rPr>
          <w:rFonts w:hint="eastAsia" w:ascii="宋体" w:hAnsi="宋体"/>
          <w:b w:val="0"/>
          <w:bCs/>
          <w:color w:val="auto"/>
          <w:sz w:val="24"/>
          <w:szCs w:val="24"/>
          <w:highlight w:val="none"/>
        </w:rPr>
        <w:t>温馨提示：考虑到现行国家实际的网络速率及供应商所处区域网络的情况，以及响应文件实际大小，请供应商尽量在递交响应文件截止时间前48小时执行上传响应文件操作，在投标截止时间前一天确保响应文件上传成功，在上传文件时如遇到问题需要协助可联系平台服务人员（联系方式详见网页首页）。</w:t>
      </w:r>
    </w:p>
    <w:p w14:paraId="267F609A">
      <w:pPr>
        <w:spacing w:after="120" w:line="360" w:lineRule="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九、开标地点：四川联采招汇电子招标采购平台线上开标。</w:t>
      </w:r>
      <w:r>
        <w:rPr>
          <w:rFonts w:hint="eastAsia" w:ascii="宋体" w:hAnsi="宋体"/>
          <w:b w:val="0"/>
          <w:bCs w:val="0"/>
          <w:color w:val="auto"/>
          <w:sz w:val="24"/>
          <w:highlight w:val="none"/>
          <w:lang w:eastAsia="zh-CN"/>
        </w:rPr>
        <w:t>供应商须在采购公告（或更正公告）规定的递交截止时间前上传响应文件，并在磋商地点于开标大厅签到解密。</w:t>
      </w:r>
    </w:p>
    <w:p w14:paraId="6E338B0A">
      <w:pPr>
        <w:keepLines w:val="0"/>
        <w:pageBreakBefore w:val="0"/>
        <w:kinsoku/>
        <w:overflowPunct/>
        <w:bidi w:val="0"/>
        <w:spacing w:line="360" w:lineRule="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十、本投标邀请在“中国政府采购网http://www.ccgp.gov.cn/”上以公告形式发布。</w:t>
      </w:r>
    </w:p>
    <w:p w14:paraId="0572E090">
      <w:pPr>
        <w:keepLines w:val="0"/>
        <w:pageBreakBefore w:val="0"/>
        <w:kinsoku/>
        <w:overflowPunct/>
        <w:bidi w:val="0"/>
        <w:spacing w:line="360" w:lineRule="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十一、联系方式：</w:t>
      </w:r>
    </w:p>
    <w:p w14:paraId="1458B897">
      <w:pPr>
        <w:keepLines w:val="0"/>
        <w:pageBreakBefore w:val="0"/>
        <w:widowControl/>
        <w:kinsoku/>
        <w:wordWrap w:val="0"/>
        <w:overflowPunct/>
        <w:bidi w:val="0"/>
        <w:spacing w:line="360" w:lineRule="auto"/>
        <w:ind w:firstLine="482" w:firstLineChars="200"/>
        <w:jc w:val="left"/>
        <w:rPr>
          <w:rFonts w:hint="eastAsia" w:ascii="宋体" w:hAnsi="宋体"/>
          <w:b/>
          <w:bCs/>
          <w:color w:val="auto"/>
          <w:sz w:val="24"/>
          <w:highlight w:val="none"/>
          <w:lang w:eastAsia="zh-CN"/>
        </w:rPr>
      </w:pPr>
      <w:r>
        <w:rPr>
          <w:rFonts w:hint="eastAsia" w:ascii="宋体" w:hAnsi="宋体"/>
          <w:b/>
          <w:bCs/>
          <w:color w:val="auto"/>
          <w:sz w:val="24"/>
          <w:highlight w:val="none"/>
          <w:lang w:eastAsia="zh-CN"/>
        </w:rPr>
        <w:t>采购人：凉山彝族自治州消防救援支队</w:t>
      </w:r>
    </w:p>
    <w:p w14:paraId="0D11E189">
      <w:pPr>
        <w:wordWrap w:val="0"/>
        <w:spacing w:line="360" w:lineRule="auto"/>
        <w:ind w:firstLine="480" w:firstLineChars="200"/>
        <w:rPr>
          <w:rFonts w:hint="eastAsia" w:ascii="宋体" w:hAnsi="宋体" w:eastAsia="宋体" w:cs="宋体"/>
          <w:bCs/>
          <w:color w:val="auto"/>
          <w:kern w:val="1"/>
          <w:sz w:val="24"/>
          <w:szCs w:val="24"/>
          <w:highlight w:val="none"/>
          <w:lang w:eastAsia="zh-CN"/>
        </w:rPr>
      </w:pPr>
      <w:r>
        <w:rPr>
          <w:rFonts w:hint="eastAsia" w:ascii="宋体" w:hAnsi="宋体" w:cs="宋体"/>
          <w:bCs/>
          <w:color w:val="auto"/>
          <w:kern w:val="1"/>
          <w:sz w:val="24"/>
          <w:szCs w:val="24"/>
          <w:highlight w:val="none"/>
        </w:rPr>
        <w:t>地址：航天大道一段凉山彝族自治州消防救援支队</w:t>
      </w:r>
    </w:p>
    <w:p w14:paraId="34E29896">
      <w:pPr>
        <w:wordWrap w:val="0"/>
        <w:spacing w:line="360" w:lineRule="auto"/>
        <w:ind w:firstLine="480" w:firstLineChars="200"/>
        <w:rPr>
          <w:rFonts w:hint="default" w:ascii="宋体" w:hAnsi="宋体" w:eastAsia="宋体" w:cs="宋体"/>
          <w:bCs/>
          <w:color w:val="auto"/>
          <w:kern w:val="1"/>
          <w:sz w:val="24"/>
          <w:szCs w:val="24"/>
          <w:highlight w:val="none"/>
          <w:lang w:val="en-US" w:eastAsia="zh-CN"/>
        </w:rPr>
      </w:pPr>
      <w:r>
        <w:rPr>
          <w:rFonts w:hint="eastAsia" w:ascii="宋体" w:hAnsi="宋体" w:cs="宋体"/>
          <w:bCs/>
          <w:color w:val="auto"/>
          <w:kern w:val="1"/>
          <w:sz w:val="24"/>
          <w:szCs w:val="24"/>
          <w:highlight w:val="none"/>
        </w:rPr>
        <w:t>联系人：</w:t>
      </w:r>
      <w:r>
        <w:rPr>
          <w:rFonts w:hint="eastAsia" w:ascii="宋体" w:hAnsi="宋体" w:cs="宋体"/>
          <w:bCs/>
          <w:color w:val="auto"/>
          <w:kern w:val="1"/>
          <w:sz w:val="24"/>
          <w:szCs w:val="24"/>
          <w:highlight w:val="none"/>
          <w:lang w:val="en-US" w:eastAsia="zh-CN"/>
        </w:rPr>
        <w:t>杨老师</w:t>
      </w:r>
    </w:p>
    <w:p w14:paraId="421BEBCA">
      <w:pPr>
        <w:wordWrap w:val="0"/>
        <w:spacing w:line="360" w:lineRule="auto"/>
        <w:ind w:firstLine="480" w:firstLineChars="200"/>
        <w:rPr>
          <w:rFonts w:hint="eastAsia" w:ascii="宋体" w:hAnsi="宋体" w:eastAsia="宋体" w:cs="宋体"/>
          <w:bCs/>
          <w:color w:val="auto"/>
          <w:kern w:val="1"/>
          <w:sz w:val="24"/>
          <w:szCs w:val="24"/>
          <w:highlight w:val="none"/>
          <w:lang w:eastAsia="zh-CN"/>
        </w:rPr>
      </w:pPr>
      <w:r>
        <w:rPr>
          <w:rFonts w:hint="eastAsia" w:ascii="宋体" w:hAnsi="宋体" w:cs="宋体"/>
          <w:bCs/>
          <w:color w:val="auto"/>
          <w:kern w:val="1"/>
          <w:sz w:val="24"/>
          <w:szCs w:val="24"/>
          <w:highlight w:val="none"/>
        </w:rPr>
        <w:t>联系电话：0834-2510619</w:t>
      </w:r>
    </w:p>
    <w:p w14:paraId="41354A92">
      <w:pPr>
        <w:keepLines w:val="0"/>
        <w:pageBreakBefore w:val="0"/>
        <w:widowControl/>
        <w:kinsoku/>
        <w:wordWrap w:val="0"/>
        <w:overflowPunct/>
        <w:bidi w:val="0"/>
        <w:spacing w:line="360" w:lineRule="auto"/>
        <w:ind w:firstLine="482" w:firstLineChars="200"/>
        <w:jc w:val="left"/>
        <w:rPr>
          <w:rFonts w:hint="eastAsia" w:asciiTheme="minorEastAsia" w:hAnsiTheme="minorEastAsia" w:eastAsiaTheme="minorEastAsia" w:cstheme="minorEastAsia"/>
          <w:b/>
          <w:bCs w:val="0"/>
          <w:color w:val="auto"/>
          <w:kern w:val="1"/>
          <w:sz w:val="24"/>
          <w:highlight w:val="none"/>
          <w:lang w:eastAsia="zh-CN"/>
        </w:rPr>
      </w:pPr>
      <w:r>
        <w:rPr>
          <w:rFonts w:hint="eastAsia" w:asciiTheme="minorEastAsia" w:hAnsiTheme="minorEastAsia" w:eastAsiaTheme="minorEastAsia" w:cstheme="minorEastAsia"/>
          <w:b/>
          <w:bCs w:val="0"/>
          <w:color w:val="auto"/>
          <w:kern w:val="1"/>
          <w:sz w:val="24"/>
          <w:highlight w:val="none"/>
        </w:rPr>
        <w:t xml:space="preserve">采购代理机构： </w:t>
      </w:r>
      <w:r>
        <w:rPr>
          <w:rFonts w:hint="eastAsia" w:asciiTheme="minorEastAsia" w:hAnsiTheme="minorEastAsia" w:eastAsiaTheme="minorEastAsia" w:cstheme="minorEastAsia"/>
          <w:b/>
          <w:bCs w:val="0"/>
          <w:color w:val="auto"/>
          <w:kern w:val="1"/>
          <w:sz w:val="24"/>
          <w:highlight w:val="none"/>
          <w:lang w:eastAsia="zh-CN"/>
        </w:rPr>
        <w:t>四川五邑招标代理有限公司</w:t>
      </w:r>
    </w:p>
    <w:p w14:paraId="16BAAC94">
      <w:pPr>
        <w:spacing w:line="360" w:lineRule="auto"/>
        <w:ind w:firstLine="480"/>
        <w:rPr>
          <w:rFonts w:ascii="宋体" w:hAnsi="宋体" w:cs="宋体"/>
          <w:color w:val="auto"/>
          <w:kern w:val="1"/>
          <w:sz w:val="24"/>
          <w:szCs w:val="24"/>
          <w:highlight w:val="none"/>
        </w:rPr>
      </w:pPr>
      <w:bookmarkStart w:id="8" w:name="_Toc213496267"/>
      <w:bookmarkStart w:id="9" w:name="_Toc213397009"/>
      <w:bookmarkStart w:id="10" w:name="_Toc213396759"/>
      <w:bookmarkStart w:id="11" w:name="_Toc213396945"/>
      <w:bookmarkStart w:id="12" w:name="_Toc217446031"/>
      <w:bookmarkStart w:id="13" w:name="_Toc7915"/>
      <w:bookmarkStart w:id="14" w:name="_Toc27279"/>
      <w:bookmarkStart w:id="15" w:name="_Toc20736"/>
      <w:bookmarkStart w:id="16" w:name="_Toc183582202"/>
      <w:bookmarkStart w:id="17" w:name="_Toc89075871"/>
      <w:bookmarkStart w:id="18" w:name="_Toc77400776"/>
      <w:bookmarkStart w:id="19" w:name="_Toc183682339"/>
      <w:r>
        <w:rPr>
          <w:rFonts w:hint="eastAsia" w:ascii="宋体" w:hAnsi="宋体" w:cs="宋体"/>
          <w:color w:val="auto"/>
          <w:kern w:val="1"/>
          <w:sz w:val="24"/>
          <w:szCs w:val="24"/>
          <w:highlight w:val="none"/>
        </w:rPr>
        <w:t>地    址：</w:t>
      </w:r>
      <w:r>
        <w:rPr>
          <w:rFonts w:hint="eastAsia" w:ascii="宋体" w:hAnsi="宋体" w:cs="宋体"/>
          <w:color w:val="auto"/>
          <w:kern w:val="1"/>
          <w:sz w:val="24"/>
          <w:szCs w:val="24"/>
          <w:highlight w:val="none"/>
          <w:lang w:val="en-US" w:eastAsia="zh-CN"/>
        </w:rPr>
        <w:t>西昌市航天大道六段辅路领地海月里西区1栋304室</w:t>
      </w:r>
    </w:p>
    <w:p w14:paraId="18FCEA70">
      <w:pPr>
        <w:spacing w:line="360" w:lineRule="auto"/>
        <w:ind w:firstLine="480"/>
        <w:rPr>
          <w:rFonts w:ascii="宋体" w:hAnsi="宋体" w:cs="宋体"/>
          <w:color w:val="auto"/>
          <w:kern w:val="1"/>
          <w:sz w:val="24"/>
          <w:szCs w:val="24"/>
          <w:highlight w:val="none"/>
        </w:rPr>
      </w:pPr>
      <w:r>
        <w:rPr>
          <w:rFonts w:hint="eastAsia" w:ascii="宋体" w:hAnsi="宋体" w:cs="宋体"/>
          <w:color w:val="auto"/>
          <w:kern w:val="1"/>
          <w:sz w:val="24"/>
          <w:szCs w:val="24"/>
          <w:highlight w:val="none"/>
        </w:rPr>
        <w:t>联 系 人：</w:t>
      </w:r>
      <w:r>
        <w:rPr>
          <w:rFonts w:hint="eastAsia" w:ascii="宋体" w:hAnsi="宋体" w:cs="宋体"/>
          <w:color w:val="auto"/>
          <w:kern w:val="1"/>
          <w:sz w:val="24"/>
          <w:szCs w:val="24"/>
          <w:highlight w:val="none"/>
          <w:lang w:eastAsia="zh-CN"/>
        </w:rPr>
        <w:t>胡先生</w:t>
      </w:r>
    </w:p>
    <w:p w14:paraId="48D82A20">
      <w:pPr>
        <w:spacing w:line="360" w:lineRule="auto"/>
        <w:ind w:firstLine="480"/>
        <w:rPr>
          <w:rFonts w:hint="eastAsia" w:ascii="宋体" w:hAnsi="宋体" w:cs="宋体"/>
          <w:color w:val="auto"/>
          <w:kern w:val="1"/>
          <w:sz w:val="24"/>
          <w:szCs w:val="24"/>
          <w:highlight w:val="none"/>
          <w:lang w:eastAsia="zh-CN"/>
        </w:rPr>
      </w:pPr>
      <w:r>
        <w:rPr>
          <w:rFonts w:hint="eastAsia" w:ascii="宋体" w:hAnsi="宋体" w:cs="宋体"/>
          <w:color w:val="auto"/>
          <w:kern w:val="1"/>
          <w:sz w:val="24"/>
          <w:szCs w:val="24"/>
          <w:highlight w:val="none"/>
        </w:rPr>
        <w:t>联系电话：</w:t>
      </w:r>
      <w:r>
        <w:rPr>
          <w:rFonts w:hint="eastAsia" w:ascii="宋体" w:hAnsi="宋体" w:cs="宋体"/>
          <w:color w:val="auto"/>
          <w:kern w:val="1"/>
          <w:sz w:val="24"/>
          <w:szCs w:val="24"/>
          <w:highlight w:val="none"/>
          <w:lang w:eastAsia="zh-CN"/>
        </w:rPr>
        <w:t>18989237803</w:t>
      </w:r>
    </w:p>
    <w:p w14:paraId="5C1CFC87">
      <w:pPr>
        <w:pStyle w:val="2"/>
        <w:keepLines w:val="0"/>
        <w:pageBreakBefore w:val="0"/>
        <w:kinsoku/>
        <w:overflowPunct/>
        <w:bidi w:val="0"/>
        <w:spacing w:line="360" w:lineRule="auto"/>
        <w:jc w:val="center"/>
        <w:rPr>
          <w:color w:val="auto"/>
          <w:highlight w:val="none"/>
        </w:rPr>
      </w:pPr>
      <w:r>
        <w:rPr>
          <w:rFonts w:hint="eastAsia" w:ascii="Cambria" w:hAnsi="Cambria" w:eastAsia="宋体" w:cs="Times New Roman"/>
          <w:b/>
          <w:bCs/>
          <w:color w:val="auto"/>
          <w:kern w:val="32"/>
          <w:sz w:val="32"/>
          <w:szCs w:val="32"/>
          <w:highlight w:val="none"/>
          <w:lang w:val="en-US" w:eastAsia="zh-CN" w:bidi="ar-SA"/>
        </w:rPr>
        <w:t>第二章  投标人须知</w:t>
      </w:r>
      <w:bookmarkEnd w:id="8"/>
      <w:bookmarkEnd w:id="9"/>
      <w:bookmarkEnd w:id="10"/>
      <w:bookmarkEnd w:id="11"/>
      <w:bookmarkEnd w:id="12"/>
      <w:bookmarkEnd w:id="13"/>
      <w:bookmarkEnd w:id="14"/>
      <w:bookmarkEnd w:id="15"/>
      <w:bookmarkStart w:id="20" w:name="_Toc184283909"/>
      <w:bookmarkStart w:id="21" w:name="_Toc184274915"/>
    </w:p>
    <w:p w14:paraId="2C59CF07">
      <w:pPr>
        <w:pStyle w:val="3"/>
        <w:keepLines w:val="0"/>
        <w:pageBreakBefore w:val="0"/>
        <w:kinsoku/>
        <w:overflowPunct/>
        <w:bidi w:val="0"/>
        <w:spacing w:line="360" w:lineRule="auto"/>
        <w:rPr>
          <w:color w:val="auto"/>
          <w:highlight w:val="none"/>
        </w:rPr>
      </w:pPr>
      <w:bookmarkStart w:id="22" w:name="_Toc213496268"/>
      <w:bookmarkStart w:id="23" w:name="_Toc213397010"/>
      <w:bookmarkStart w:id="24" w:name="_Toc217446032"/>
      <w:bookmarkStart w:id="25" w:name="_Toc189727030"/>
      <w:bookmarkStart w:id="26" w:name="_Toc15899"/>
      <w:bookmarkStart w:id="27" w:name="_Toc213396760"/>
      <w:bookmarkStart w:id="28" w:name="_Toc3389"/>
      <w:bookmarkStart w:id="29" w:name="_Toc213396946"/>
      <w:r>
        <w:rPr>
          <w:rFonts w:hint="eastAsia"/>
          <w:color w:val="auto"/>
          <w:highlight w:val="none"/>
        </w:rPr>
        <w:t>一、投标人须知附表</w:t>
      </w:r>
      <w:bookmarkEnd w:id="20"/>
      <w:bookmarkEnd w:id="21"/>
      <w:bookmarkEnd w:id="22"/>
      <w:bookmarkEnd w:id="23"/>
      <w:bookmarkEnd w:id="24"/>
      <w:bookmarkEnd w:id="25"/>
      <w:bookmarkEnd w:id="26"/>
      <w:bookmarkEnd w:id="27"/>
      <w:bookmarkEnd w:id="28"/>
      <w:bookmarkEnd w:id="29"/>
    </w:p>
    <w:tbl>
      <w:tblPr>
        <w:tblStyle w:val="47"/>
        <w:tblW w:w="9399" w:type="dxa"/>
        <w:tblInd w:w="-23"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465"/>
        <w:gridCol w:w="1968"/>
        <w:gridCol w:w="6966"/>
      </w:tblGrid>
      <w:tr w14:paraId="0C3E919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blHeader/>
        </w:trPr>
        <w:tc>
          <w:tcPr>
            <w:tcW w:w="465" w:type="dxa"/>
            <w:noWrap/>
            <w:vAlign w:val="center"/>
          </w:tcPr>
          <w:p w14:paraId="7F9B8254">
            <w:pPr>
              <w:keepLines w:val="0"/>
              <w:pageBreakBefore w:val="0"/>
              <w:kinsoku/>
              <w:overflowPunct/>
              <w:bidi w:val="0"/>
              <w:spacing w:line="360" w:lineRule="auto"/>
              <w:jc w:val="center"/>
              <w:outlineLvl w:val="5"/>
              <w:rPr>
                <w:rFonts w:hAnsi="宋体" w:cs="宋体"/>
                <w:b/>
                <w:color w:val="auto"/>
                <w:highlight w:val="none"/>
                <w:lang w:val="zh-CN"/>
              </w:rPr>
            </w:pPr>
            <w:r>
              <w:rPr>
                <w:rFonts w:hint="eastAsia" w:hAnsi="宋体" w:cs="宋体"/>
                <w:b/>
                <w:color w:val="auto"/>
                <w:highlight w:val="none"/>
                <w:lang w:val="zh-CN"/>
              </w:rPr>
              <w:t xml:space="preserve">序号 </w:t>
            </w:r>
          </w:p>
        </w:tc>
        <w:tc>
          <w:tcPr>
            <w:tcW w:w="1968" w:type="dxa"/>
            <w:noWrap/>
            <w:vAlign w:val="center"/>
          </w:tcPr>
          <w:p w14:paraId="271A862B">
            <w:pPr>
              <w:keepLines w:val="0"/>
              <w:pageBreakBefore w:val="0"/>
              <w:kinsoku/>
              <w:overflowPunct/>
              <w:bidi w:val="0"/>
              <w:spacing w:line="360" w:lineRule="auto"/>
              <w:jc w:val="center"/>
              <w:outlineLvl w:val="5"/>
              <w:rPr>
                <w:rFonts w:hAnsi="宋体" w:cs="宋体"/>
                <w:b/>
                <w:color w:val="auto"/>
                <w:highlight w:val="none"/>
                <w:lang w:val="zh-CN"/>
              </w:rPr>
            </w:pPr>
            <w:r>
              <w:rPr>
                <w:rFonts w:hint="eastAsia" w:hAnsi="宋体" w:cs="宋体"/>
                <w:b/>
                <w:color w:val="auto"/>
                <w:highlight w:val="none"/>
                <w:lang w:val="zh-CN"/>
              </w:rPr>
              <w:t>条款名称</w:t>
            </w:r>
          </w:p>
        </w:tc>
        <w:tc>
          <w:tcPr>
            <w:tcW w:w="6966" w:type="dxa"/>
            <w:noWrap/>
            <w:vAlign w:val="center"/>
          </w:tcPr>
          <w:p w14:paraId="056624D4">
            <w:pPr>
              <w:keepLines w:val="0"/>
              <w:pageBreakBefore w:val="0"/>
              <w:kinsoku/>
              <w:overflowPunct/>
              <w:bidi w:val="0"/>
              <w:spacing w:line="360" w:lineRule="auto"/>
              <w:jc w:val="center"/>
              <w:outlineLvl w:val="5"/>
              <w:rPr>
                <w:rFonts w:hAnsi="宋体" w:cs="宋体"/>
                <w:b/>
                <w:color w:val="auto"/>
                <w:highlight w:val="none"/>
                <w:lang w:val="zh-CN"/>
              </w:rPr>
            </w:pPr>
            <w:r>
              <w:rPr>
                <w:rFonts w:hint="eastAsia" w:hAnsi="宋体" w:cs="宋体"/>
                <w:b/>
                <w:color w:val="auto"/>
                <w:highlight w:val="none"/>
                <w:lang w:val="zh-CN"/>
              </w:rPr>
              <w:t>说明和要求</w:t>
            </w:r>
          </w:p>
        </w:tc>
      </w:tr>
      <w:tr w14:paraId="24BBD24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465" w:type="dxa"/>
            <w:noWrap/>
            <w:vAlign w:val="center"/>
          </w:tcPr>
          <w:p w14:paraId="517AA123">
            <w:pPr>
              <w:keepLines w:val="0"/>
              <w:pageBreakBefore w:val="0"/>
              <w:kinsoku/>
              <w:overflowPunct/>
              <w:bidi w:val="0"/>
              <w:spacing w:line="360" w:lineRule="auto"/>
              <w:jc w:val="center"/>
              <w:outlineLvl w:val="5"/>
              <w:rPr>
                <w:rFonts w:hAnsi="宋体" w:cs="宋体"/>
                <w:color w:val="auto"/>
                <w:highlight w:val="none"/>
                <w:lang w:val="zh-CN"/>
              </w:rPr>
            </w:pPr>
            <w:r>
              <w:rPr>
                <w:rFonts w:hint="eastAsia" w:hAnsi="宋体" w:cs="宋体"/>
                <w:color w:val="auto"/>
                <w:highlight w:val="none"/>
                <w:lang w:val="zh-CN"/>
              </w:rPr>
              <w:t>1</w:t>
            </w:r>
          </w:p>
        </w:tc>
        <w:tc>
          <w:tcPr>
            <w:tcW w:w="1968" w:type="dxa"/>
            <w:noWrap/>
            <w:vAlign w:val="center"/>
          </w:tcPr>
          <w:p w14:paraId="4D6E5FB2">
            <w:pPr>
              <w:keepLines w:val="0"/>
              <w:pageBreakBefore w:val="0"/>
              <w:kinsoku/>
              <w:overflowPunct/>
              <w:bidi w:val="0"/>
              <w:spacing w:line="360" w:lineRule="auto"/>
              <w:outlineLvl w:val="5"/>
              <w:rPr>
                <w:rFonts w:hAnsi="宋体" w:cs="宋体"/>
                <w:color w:val="auto"/>
                <w:highlight w:val="none"/>
                <w:lang w:val="zh-CN"/>
              </w:rPr>
            </w:pPr>
            <w:r>
              <w:rPr>
                <w:rFonts w:hint="eastAsia" w:hAnsi="宋体" w:cs="宋体"/>
                <w:color w:val="auto"/>
                <w:highlight w:val="none"/>
                <w:lang w:val="zh-CN"/>
              </w:rPr>
              <w:t>采购人</w:t>
            </w:r>
          </w:p>
        </w:tc>
        <w:tc>
          <w:tcPr>
            <w:tcW w:w="6966" w:type="dxa"/>
            <w:noWrap/>
          </w:tcPr>
          <w:p w14:paraId="4500A54C">
            <w:pPr>
              <w:keepLines w:val="0"/>
              <w:pageBreakBefore w:val="0"/>
              <w:kinsoku/>
              <w:overflowPunct/>
              <w:bidi w:val="0"/>
              <w:spacing w:line="360" w:lineRule="auto"/>
              <w:rPr>
                <w:rFonts w:hAnsi="宋体" w:cs="宋体"/>
                <w:color w:val="auto"/>
                <w:highlight w:val="none"/>
                <w:lang w:val="zh-CN"/>
              </w:rPr>
            </w:pPr>
            <w:r>
              <w:rPr>
                <w:rFonts w:hint="eastAsia" w:hAnsi="宋体" w:cs="宋体"/>
                <w:color w:val="auto"/>
                <w:highlight w:val="none"/>
                <w:lang w:val="zh-CN"/>
              </w:rPr>
              <w:t>凉山彝族自治州消防救援支队</w:t>
            </w:r>
          </w:p>
        </w:tc>
      </w:tr>
      <w:tr w14:paraId="5DADF33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465" w:type="dxa"/>
            <w:noWrap/>
            <w:vAlign w:val="center"/>
          </w:tcPr>
          <w:p w14:paraId="63541979">
            <w:pPr>
              <w:keepLines w:val="0"/>
              <w:pageBreakBefore w:val="0"/>
              <w:kinsoku/>
              <w:overflowPunct/>
              <w:bidi w:val="0"/>
              <w:spacing w:line="360" w:lineRule="auto"/>
              <w:jc w:val="center"/>
              <w:outlineLvl w:val="5"/>
              <w:rPr>
                <w:rFonts w:hAnsi="宋体" w:cs="宋体"/>
                <w:color w:val="auto"/>
                <w:highlight w:val="none"/>
                <w:lang w:val="zh-CN"/>
              </w:rPr>
            </w:pPr>
            <w:r>
              <w:rPr>
                <w:rFonts w:hint="eastAsia" w:hAnsi="宋体" w:cs="宋体"/>
                <w:color w:val="auto"/>
                <w:highlight w:val="none"/>
                <w:lang w:val="zh-CN"/>
              </w:rPr>
              <w:t>2</w:t>
            </w:r>
          </w:p>
        </w:tc>
        <w:tc>
          <w:tcPr>
            <w:tcW w:w="1968" w:type="dxa"/>
            <w:noWrap/>
            <w:vAlign w:val="center"/>
          </w:tcPr>
          <w:p w14:paraId="61DC2394">
            <w:pPr>
              <w:keepLines w:val="0"/>
              <w:pageBreakBefore w:val="0"/>
              <w:kinsoku/>
              <w:overflowPunct/>
              <w:bidi w:val="0"/>
              <w:spacing w:line="360" w:lineRule="auto"/>
              <w:ind w:right="204" w:rightChars="85"/>
              <w:outlineLvl w:val="5"/>
              <w:rPr>
                <w:rFonts w:hAnsi="宋体" w:cs="宋体"/>
                <w:color w:val="auto"/>
                <w:highlight w:val="none"/>
                <w:lang w:val="zh-CN"/>
              </w:rPr>
            </w:pPr>
            <w:r>
              <w:rPr>
                <w:rFonts w:hint="eastAsia" w:hAnsi="宋体" w:cs="宋体"/>
                <w:color w:val="auto"/>
                <w:highlight w:val="none"/>
                <w:lang w:val="zh-CN"/>
              </w:rPr>
              <w:t>招标代理机构</w:t>
            </w:r>
          </w:p>
        </w:tc>
        <w:tc>
          <w:tcPr>
            <w:tcW w:w="6966" w:type="dxa"/>
            <w:noWrap/>
          </w:tcPr>
          <w:p w14:paraId="32DF3E37">
            <w:pPr>
              <w:keepLines w:val="0"/>
              <w:pageBreakBefore w:val="0"/>
              <w:kinsoku/>
              <w:overflowPunct/>
              <w:bidi w:val="0"/>
              <w:spacing w:line="360" w:lineRule="auto"/>
              <w:rPr>
                <w:rFonts w:hAnsi="宋体" w:cs="宋体"/>
                <w:color w:val="auto"/>
                <w:highlight w:val="none"/>
                <w:lang w:val="zh-CN"/>
              </w:rPr>
            </w:pPr>
            <w:r>
              <w:rPr>
                <w:rFonts w:hint="eastAsia" w:hAnsi="宋体" w:cs="宋体"/>
                <w:color w:val="auto"/>
                <w:highlight w:val="none"/>
                <w:lang w:val="zh-CN"/>
              </w:rPr>
              <w:t>四川五邑招标代理有限公司</w:t>
            </w:r>
          </w:p>
        </w:tc>
      </w:tr>
      <w:tr w14:paraId="2EACA02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465" w:type="dxa"/>
            <w:noWrap/>
            <w:vAlign w:val="center"/>
          </w:tcPr>
          <w:p w14:paraId="68D149D2">
            <w:pPr>
              <w:keepLines w:val="0"/>
              <w:pageBreakBefore w:val="0"/>
              <w:kinsoku/>
              <w:overflowPunct/>
              <w:bidi w:val="0"/>
              <w:spacing w:line="360" w:lineRule="auto"/>
              <w:jc w:val="center"/>
              <w:outlineLvl w:val="5"/>
              <w:rPr>
                <w:rFonts w:hAnsi="宋体" w:cs="宋体"/>
                <w:color w:val="auto"/>
                <w:highlight w:val="none"/>
                <w:lang w:val="zh-CN"/>
              </w:rPr>
            </w:pPr>
            <w:r>
              <w:rPr>
                <w:rFonts w:hint="eastAsia" w:hAnsi="宋体" w:cs="宋体"/>
                <w:color w:val="auto"/>
                <w:highlight w:val="none"/>
                <w:lang w:val="zh-CN"/>
              </w:rPr>
              <w:t>3</w:t>
            </w:r>
          </w:p>
        </w:tc>
        <w:tc>
          <w:tcPr>
            <w:tcW w:w="1968" w:type="dxa"/>
            <w:noWrap/>
            <w:vAlign w:val="center"/>
          </w:tcPr>
          <w:p w14:paraId="4E40893C">
            <w:pPr>
              <w:keepLines w:val="0"/>
              <w:pageBreakBefore w:val="0"/>
              <w:kinsoku/>
              <w:overflowPunct/>
              <w:bidi w:val="0"/>
              <w:spacing w:line="360" w:lineRule="auto"/>
              <w:outlineLvl w:val="5"/>
              <w:rPr>
                <w:rFonts w:hAnsi="宋体" w:cs="宋体"/>
                <w:color w:val="auto"/>
                <w:highlight w:val="none"/>
                <w:lang w:val="zh-CN"/>
              </w:rPr>
            </w:pPr>
            <w:r>
              <w:rPr>
                <w:rFonts w:hint="eastAsia" w:hAnsi="宋体" w:cs="宋体"/>
                <w:color w:val="auto"/>
                <w:highlight w:val="none"/>
                <w:lang w:val="zh-CN"/>
              </w:rPr>
              <w:t>采购项目名称</w:t>
            </w:r>
          </w:p>
        </w:tc>
        <w:tc>
          <w:tcPr>
            <w:tcW w:w="6966" w:type="dxa"/>
            <w:noWrap/>
          </w:tcPr>
          <w:p w14:paraId="314E2B63">
            <w:pPr>
              <w:keepLines w:val="0"/>
              <w:pageBreakBefore w:val="0"/>
              <w:kinsoku/>
              <w:overflowPunct/>
              <w:bidi w:val="0"/>
              <w:spacing w:line="360" w:lineRule="auto"/>
              <w:rPr>
                <w:rFonts w:hAnsi="宋体" w:cs="宋体"/>
                <w:color w:val="auto"/>
                <w:highlight w:val="none"/>
                <w:lang w:val="zh-CN"/>
              </w:rPr>
            </w:pPr>
            <w:r>
              <w:rPr>
                <w:rFonts w:hint="eastAsia" w:hAnsi="宋体" w:cs="宋体"/>
                <w:color w:val="auto"/>
                <w:highlight w:val="none"/>
                <w:lang w:val="zh-CN"/>
              </w:rPr>
              <w:t>四川省凉山州消防救援支队室内烟火特性训练设施服务采购项目（二次）</w:t>
            </w:r>
          </w:p>
        </w:tc>
      </w:tr>
      <w:tr w14:paraId="23A46C6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465" w:type="dxa"/>
            <w:noWrap/>
            <w:vAlign w:val="center"/>
          </w:tcPr>
          <w:p w14:paraId="00B17D68">
            <w:pPr>
              <w:keepLines w:val="0"/>
              <w:pageBreakBefore w:val="0"/>
              <w:kinsoku/>
              <w:overflowPunct/>
              <w:bidi w:val="0"/>
              <w:spacing w:line="360" w:lineRule="auto"/>
              <w:jc w:val="center"/>
              <w:outlineLvl w:val="5"/>
              <w:rPr>
                <w:rFonts w:hAnsi="宋体" w:cs="宋体"/>
                <w:color w:val="auto"/>
                <w:highlight w:val="none"/>
                <w:lang w:val="zh-CN"/>
              </w:rPr>
            </w:pPr>
            <w:r>
              <w:rPr>
                <w:rFonts w:hint="eastAsia" w:hAnsi="宋体" w:cs="宋体"/>
                <w:color w:val="auto"/>
                <w:highlight w:val="none"/>
                <w:lang w:val="zh-CN"/>
              </w:rPr>
              <w:t>4</w:t>
            </w:r>
          </w:p>
        </w:tc>
        <w:tc>
          <w:tcPr>
            <w:tcW w:w="1968" w:type="dxa"/>
            <w:noWrap/>
            <w:vAlign w:val="center"/>
          </w:tcPr>
          <w:p w14:paraId="4AD612CC">
            <w:pPr>
              <w:keepLines w:val="0"/>
              <w:pageBreakBefore w:val="0"/>
              <w:kinsoku/>
              <w:overflowPunct/>
              <w:bidi w:val="0"/>
              <w:spacing w:line="360" w:lineRule="auto"/>
              <w:outlineLvl w:val="5"/>
              <w:rPr>
                <w:rFonts w:hAnsi="宋体" w:cs="宋体"/>
                <w:color w:val="auto"/>
                <w:highlight w:val="none"/>
                <w:lang w:val="zh-CN"/>
              </w:rPr>
            </w:pPr>
            <w:r>
              <w:rPr>
                <w:rFonts w:hint="eastAsia" w:hAnsi="宋体" w:cs="宋体"/>
                <w:color w:val="auto"/>
                <w:highlight w:val="none"/>
                <w:lang w:val="zh-CN"/>
              </w:rPr>
              <w:t>采购文件编号</w:t>
            </w:r>
          </w:p>
        </w:tc>
        <w:tc>
          <w:tcPr>
            <w:tcW w:w="6966" w:type="dxa"/>
            <w:noWrap/>
            <w:vAlign w:val="center"/>
          </w:tcPr>
          <w:p w14:paraId="4922EF96">
            <w:pPr>
              <w:keepLines w:val="0"/>
              <w:pageBreakBefore w:val="0"/>
              <w:kinsoku/>
              <w:overflowPunct/>
              <w:bidi w:val="0"/>
              <w:spacing w:line="360" w:lineRule="auto"/>
              <w:outlineLvl w:val="5"/>
              <w:rPr>
                <w:rFonts w:hint="eastAsia" w:hAnsi="宋体" w:eastAsia="宋体" w:cs="宋体"/>
                <w:color w:val="auto"/>
                <w:highlight w:val="none"/>
                <w:lang w:eastAsia="zh-CN"/>
              </w:rPr>
            </w:pPr>
            <w:r>
              <w:rPr>
                <w:rFonts w:hint="eastAsia" w:hAnsi="宋体" w:cs="宋体"/>
                <w:color w:val="auto"/>
                <w:highlight w:val="none"/>
                <w:lang w:eastAsia="zh-CN"/>
              </w:rPr>
              <w:t>SCWYZB-LSGZ-2025-122301</w:t>
            </w:r>
          </w:p>
        </w:tc>
      </w:tr>
      <w:tr w14:paraId="7C9E7A3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465" w:type="dxa"/>
            <w:noWrap/>
            <w:vAlign w:val="center"/>
          </w:tcPr>
          <w:p w14:paraId="336943D8">
            <w:pPr>
              <w:keepLines w:val="0"/>
              <w:pageBreakBefore w:val="0"/>
              <w:kinsoku/>
              <w:overflowPunct/>
              <w:bidi w:val="0"/>
              <w:spacing w:line="360" w:lineRule="auto"/>
              <w:jc w:val="center"/>
              <w:outlineLvl w:val="5"/>
              <w:rPr>
                <w:rFonts w:hAnsi="宋体" w:cs="宋体"/>
                <w:color w:val="auto"/>
                <w:highlight w:val="none"/>
                <w:lang w:val="zh-CN"/>
              </w:rPr>
            </w:pPr>
            <w:r>
              <w:rPr>
                <w:rFonts w:hint="eastAsia" w:hAnsi="宋体" w:cs="宋体"/>
                <w:color w:val="auto"/>
                <w:highlight w:val="none"/>
                <w:lang w:val="zh-CN"/>
              </w:rPr>
              <w:t>5</w:t>
            </w:r>
          </w:p>
        </w:tc>
        <w:tc>
          <w:tcPr>
            <w:tcW w:w="1968" w:type="dxa"/>
            <w:noWrap/>
            <w:vAlign w:val="center"/>
          </w:tcPr>
          <w:p w14:paraId="77808140">
            <w:pPr>
              <w:keepLines w:val="0"/>
              <w:pageBreakBefore w:val="0"/>
              <w:kinsoku/>
              <w:overflowPunct/>
              <w:bidi w:val="0"/>
              <w:spacing w:line="360" w:lineRule="auto"/>
              <w:outlineLvl w:val="5"/>
              <w:rPr>
                <w:rFonts w:hAnsi="宋体" w:cs="宋体"/>
                <w:color w:val="auto"/>
                <w:highlight w:val="none"/>
                <w:lang w:val="zh-CN"/>
              </w:rPr>
            </w:pPr>
            <w:r>
              <w:rPr>
                <w:rFonts w:hint="eastAsia" w:hAnsi="宋体" w:cs="宋体"/>
                <w:color w:val="auto"/>
                <w:highlight w:val="none"/>
                <w:lang w:val="zh-CN"/>
              </w:rPr>
              <w:t>招标文件编制</w:t>
            </w:r>
          </w:p>
        </w:tc>
        <w:tc>
          <w:tcPr>
            <w:tcW w:w="6966" w:type="dxa"/>
            <w:noWrap/>
            <w:vAlign w:val="center"/>
          </w:tcPr>
          <w:p w14:paraId="38750BE5">
            <w:pPr>
              <w:keepLines w:val="0"/>
              <w:pageBreakBefore w:val="0"/>
              <w:kinsoku/>
              <w:overflowPunct/>
              <w:bidi w:val="0"/>
              <w:spacing w:line="360" w:lineRule="auto"/>
              <w:outlineLvl w:val="5"/>
              <w:rPr>
                <w:rFonts w:hAnsi="宋体" w:cs="宋体"/>
                <w:color w:val="auto"/>
                <w:highlight w:val="none"/>
              </w:rPr>
            </w:pPr>
            <w:r>
              <w:rPr>
                <w:rFonts w:hint="eastAsia" w:hAnsi="宋体" w:cs="宋体"/>
                <w:color w:val="auto"/>
                <w:highlight w:val="none"/>
              </w:rPr>
              <w:t>由</w:t>
            </w:r>
            <w:r>
              <w:rPr>
                <w:rFonts w:hint="eastAsia" w:hAnsi="宋体" w:cs="宋体"/>
                <w:color w:val="auto"/>
                <w:highlight w:val="none"/>
                <w:lang w:eastAsia="zh-CN"/>
              </w:rPr>
              <w:t>凉山彝族自治州消防救援支队</w:t>
            </w:r>
            <w:r>
              <w:rPr>
                <w:rFonts w:hint="eastAsia" w:hAnsi="宋体" w:cs="宋体"/>
                <w:color w:val="auto"/>
                <w:highlight w:val="none"/>
              </w:rPr>
              <w:t>和</w:t>
            </w:r>
            <w:r>
              <w:rPr>
                <w:rFonts w:hint="eastAsia" w:hAnsi="宋体" w:cs="宋体"/>
                <w:color w:val="auto"/>
                <w:highlight w:val="none"/>
                <w:lang w:eastAsia="zh-CN"/>
              </w:rPr>
              <w:t>四川五邑招标代理有限公司</w:t>
            </w:r>
            <w:r>
              <w:rPr>
                <w:rFonts w:hint="eastAsia" w:hAnsi="宋体" w:cs="宋体"/>
                <w:color w:val="auto"/>
                <w:highlight w:val="none"/>
              </w:rPr>
              <w:t>共同编制</w:t>
            </w:r>
          </w:p>
        </w:tc>
      </w:tr>
      <w:tr w14:paraId="14BA27A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465" w:type="dxa"/>
            <w:noWrap/>
            <w:vAlign w:val="center"/>
          </w:tcPr>
          <w:p w14:paraId="26F8ABEB">
            <w:pPr>
              <w:keepLines w:val="0"/>
              <w:pageBreakBefore w:val="0"/>
              <w:kinsoku/>
              <w:overflowPunct/>
              <w:bidi w:val="0"/>
              <w:spacing w:line="360" w:lineRule="auto"/>
              <w:jc w:val="center"/>
              <w:outlineLvl w:val="5"/>
              <w:rPr>
                <w:rFonts w:hAnsi="宋体" w:cs="宋体"/>
                <w:color w:val="auto"/>
                <w:highlight w:val="none"/>
                <w:lang w:val="zh-CN"/>
              </w:rPr>
            </w:pPr>
            <w:r>
              <w:rPr>
                <w:rFonts w:hAnsi="宋体" w:cs="宋体"/>
                <w:color w:val="auto"/>
                <w:highlight w:val="none"/>
                <w:lang w:val="zh-CN"/>
              </w:rPr>
              <w:t>6</w:t>
            </w:r>
          </w:p>
        </w:tc>
        <w:tc>
          <w:tcPr>
            <w:tcW w:w="1968" w:type="dxa"/>
            <w:noWrap/>
            <w:vAlign w:val="center"/>
          </w:tcPr>
          <w:p w14:paraId="3931F0EE">
            <w:pPr>
              <w:keepLines w:val="0"/>
              <w:pageBreakBefore w:val="0"/>
              <w:kinsoku/>
              <w:overflowPunct/>
              <w:bidi w:val="0"/>
              <w:spacing w:line="360" w:lineRule="auto"/>
              <w:outlineLvl w:val="5"/>
              <w:rPr>
                <w:rFonts w:hAnsi="宋体" w:cs="宋体"/>
                <w:color w:val="auto"/>
                <w:highlight w:val="none"/>
                <w:lang w:val="zh-CN"/>
              </w:rPr>
            </w:pPr>
            <w:r>
              <w:rPr>
                <w:rFonts w:hint="eastAsia" w:hAnsi="宋体" w:cs="宋体"/>
                <w:color w:val="auto"/>
                <w:highlight w:val="none"/>
                <w:lang w:val="zh-CN"/>
              </w:rPr>
              <w:t>资金来源</w:t>
            </w:r>
          </w:p>
        </w:tc>
        <w:tc>
          <w:tcPr>
            <w:tcW w:w="6966" w:type="dxa"/>
            <w:noWrap/>
            <w:vAlign w:val="center"/>
          </w:tcPr>
          <w:p w14:paraId="4D0B0A94">
            <w:pPr>
              <w:keepLines w:val="0"/>
              <w:pageBreakBefore w:val="0"/>
              <w:kinsoku/>
              <w:overflowPunct/>
              <w:bidi w:val="0"/>
              <w:spacing w:line="360" w:lineRule="auto"/>
              <w:outlineLvl w:val="5"/>
              <w:rPr>
                <w:rFonts w:hAnsi="宋体" w:cs="宋体"/>
                <w:color w:val="auto"/>
                <w:highlight w:val="none"/>
                <w:lang w:val="zh-CN"/>
              </w:rPr>
            </w:pPr>
            <w:r>
              <w:rPr>
                <w:rFonts w:hint="eastAsia" w:hAnsi="宋体" w:cs="宋体"/>
                <w:color w:val="auto"/>
                <w:highlight w:val="none"/>
              </w:rPr>
              <w:t>已落实。</w:t>
            </w:r>
          </w:p>
        </w:tc>
      </w:tr>
      <w:tr w14:paraId="0D738DF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465" w:type="dxa"/>
            <w:vMerge w:val="restart"/>
            <w:noWrap/>
            <w:vAlign w:val="center"/>
          </w:tcPr>
          <w:p w14:paraId="68085687">
            <w:pPr>
              <w:keepLines w:val="0"/>
              <w:pageBreakBefore w:val="0"/>
              <w:kinsoku/>
              <w:overflowPunct/>
              <w:bidi w:val="0"/>
              <w:spacing w:line="360" w:lineRule="auto"/>
              <w:jc w:val="center"/>
              <w:outlineLvl w:val="5"/>
              <w:rPr>
                <w:rFonts w:hAnsi="宋体" w:cs="宋体"/>
                <w:color w:val="auto"/>
                <w:highlight w:val="none"/>
                <w:lang w:val="zh-CN"/>
              </w:rPr>
            </w:pPr>
            <w:r>
              <w:rPr>
                <w:rFonts w:hAnsi="宋体" w:cs="宋体"/>
                <w:color w:val="auto"/>
                <w:highlight w:val="none"/>
                <w:lang w:val="zh-CN"/>
              </w:rPr>
              <w:t>7</w:t>
            </w:r>
          </w:p>
        </w:tc>
        <w:tc>
          <w:tcPr>
            <w:tcW w:w="1968" w:type="dxa"/>
            <w:tcBorders>
              <w:bottom w:val="single" w:color="auto" w:sz="4" w:space="0"/>
            </w:tcBorders>
            <w:noWrap/>
            <w:vAlign w:val="center"/>
          </w:tcPr>
          <w:p w14:paraId="1B6D36D7">
            <w:pPr>
              <w:keepLines w:val="0"/>
              <w:pageBreakBefore w:val="0"/>
              <w:kinsoku/>
              <w:overflowPunct/>
              <w:bidi w:val="0"/>
              <w:spacing w:line="360" w:lineRule="auto"/>
              <w:outlineLvl w:val="5"/>
              <w:rPr>
                <w:rFonts w:hAnsi="宋体" w:cs="宋体"/>
                <w:color w:val="auto"/>
                <w:highlight w:val="none"/>
                <w:lang w:val="zh-CN"/>
              </w:rPr>
            </w:pPr>
            <w:r>
              <w:rPr>
                <w:rFonts w:hint="eastAsia" w:hAnsi="宋体" w:cs="宋体"/>
                <w:color w:val="auto"/>
                <w:highlight w:val="none"/>
                <w:lang w:val="zh-CN"/>
              </w:rPr>
              <w:t>采购预算</w:t>
            </w:r>
          </w:p>
          <w:p w14:paraId="54D021D5">
            <w:pPr>
              <w:keepLines w:val="0"/>
              <w:pageBreakBefore w:val="0"/>
              <w:kinsoku/>
              <w:overflowPunct/>
              <w:bidi w:val="0"/>
              <w:spacing w:line="360" w:lineRule="auto"/>
              <w:outlineLvl w:val="5"/>
              <w:rPr>
                <w:rFonts w:hAnsi="宋体" w:cs="宋体"/>
                <w:b/>
                <w:color w:val="auto"/>
                <w:highlight w:val="none"/>
                <w:lang w:val="zh-CN"/>
              </w:rPr>
            </w:pPr>
            <w:r>
              <w:rPr>
                <w:rFonts w:hint="eastAsia" w:hAnsi="宋体" w:cs="宋体"/>
                <w:b/>
                <w:color w:val="auto"/>
                <w:highlight w:val="none"/>
                <w:lang w:val="zh-CN"/>
              </w:rPr>
              <w:t>（实质性要求）</w:t>
            </w:r>
          </w:p>
        </w:tc>
        <w:tc>
          <w:tcPr>
            <w:tcW w:w="6966" w:type="dxa"/>
            <w:tcBorders>
              <w:bottom w:val="single" w:color="auto" w:sz="4" w:space="0"/>
            </w:tcBorders>
            <w:noWrap/>
            <w:vAlign w:val="center"/>
          </w:tcPr>
          <w:p w14:paraId="33ACD071">
            <w:pPr>
              <w:keepLines w:val="0"/>
              <w:pageBreakBefore w:val="0"/>
              <w:kinsoku/>
              <w:overflowPunct/>
              <w:bidi w:val="0"/>
              <w:spacing w:line="360" w:lineRule="auto"/>
              <w:outlineLvl w:val="5"/>
              <w:rPr>
                <w:rFonts w:hAnsi="宋体" w:cs="宋体"/>
                <w:color w:val="auto"/>
                <w:highlight w:val="none"/>
              </w:rPr>
            </w:pPr>
            <w:r>
              <w:rPr>
                <w:rFonts w:hint="eastAsia" w:hAnsi="宋体" w:cs="宋体"/>
                <w:color w:val="auto"/>
                <w:highlight w:val="none"/>
              </w:rPr>
              <w:t>本项目采购预算为：</w:t>
            </w:r>
            <w:r>
              <w:rPr>
                <w:rFonts w:hint="eastAsia" w:hAnsi="宋体" w:cs="宋体"/>
                <w:color w:val="auto"/>
                <w:highlight w:val="none"/>
                <w:lang w:val="en-US" w:eastAsia="zh-CN"/>
              </w:rPr>
              <w:t>65万元</w:t>
            </w:r>
            <w:r>
              <w:rPr>
                <w:rFonts w:hint="eastAsia" w:hAnsi="宋体" w:cs="宋体"/>
                <w:color w:val="auto"/>
                <w:highlight w:val="none"/>
              </w:rPr>
              <w:t>；</w:t>
            </w:r>
          </w:p>
          <w:p w14:paraId="05329E59">
            <w:pPr>
              <w:keepLines w:val="0"/>
              <w:pageBreakBefore w:val="0"/>
              <w:kinsoku/>
              <w:overflowPunct/>
              <w:bidi w:val="0"/>
              <w:spacing w:line="360" w:lineRule="auto"/>
              <w:outlineLvl w:val="5"/>
              <w:rPr>
                <w:rFonts w:hAnsi="宋体" w:cs="宋体"/>
                <w:color w:val="auto"/>
                <w:highlight w:val="none"/>
                <w:lang w:val="zh-CN"/>
              </w:rPr>
            </w:pPr>
            <w:r>
              <w:rPr>
                <w:rFonts w:hint="eastAsia" w:hAnsi="宋体" w:cs="宋体"/>
                <w:color w:val="auto"/>
                <w:highlight w:val="none"/>
                <w:lang w:val="zh-CN"/>
              </w:rPr>
              <w:t>超过采购预算的投标为无效投标。</w:t>
            </w:r>
          </w:p>
        </w:tc>
      </w:tr>
      <w:tr w14:paraId="67DE2AA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465" w:type="dxa"/>
            <w:vMerge w:val="continue"/>
            <w:noWrap/>
            <w:vAlign w:val="center"/>
          </w:tcPr>
          <w:p w14:paraId="34934570">
            <w:pPr>
              <w:keepLines w:val="0"/>
              <w:pageBreakBefore w:val="0"/>
              <w:kinsoku/>
              <w:overflowPunct/>
              <w:bidi w:val="0"/>
              <w:spacing w:line="360" w:lineRule="auto"/>
              <w:jc w:val="center"/>
              <w:outlineLvl w:val="5"/>
              <w:rPr>
                <w:rFonts w:hAnsi="宋体" w:cs="宋体"/>
                <w:color w:val="auto"/>
                <w:highlight w:val="none"/>
                <w:lang w:val="zh-CN"/>
              </w:rPr>
            </w:pPr>
          </w:p>
        </w:tc>
        <w:tc>
          <w:tcPr>
            <w:tcW w:w="1968" w:type="dxa"/>
            <w:tcBorders>
              <w:top w:val="single" w:color="auto" w:sz="4" w:space="0"/>
            </w:tcBorders>
            <w:noWrap/>
            <w:vAlign w:val="center"/>
          </w:tcPr>
          <w:p w14:paraId="518B8AD2">
            <w:pPr>
              <w:keepLines w:val="0"/>
              <w:pageBreakBefore w:val="0"/>
              <w:kinsoku/>
              <w:overflowPunct/>
              <w:bidi w:val="0"/>
              <w:spacing w:line="360" w:lineRule="auto"/>
              <w:outlineLvl w:val="5"/>
              <w:rPr>
                <w:rFonts w:hAnsi="宋体" w:cs="宋体"/>
                <w:color w:val="auto"/>
                <w:highlight w:val="none"/>
                <w:lang w:val="zh-CN"/>
              </w:rPr>
            </w:pPr>
            <w:r>
              <w:rPr>
                <w:rFonts w:hint="eastAsia" w:hAnsi="宋体" w:cs="宋体"/>
                <w:color w:val="auto"/>
                <w:highlight w:val="none"/>
                <w:lang w:val="zh-CN"/>
              </w:rPr>
              <w:t>最高限价</w:t>
            </w:r>
          </w:p>
          <w:p w14:paraId="5B3B5594">
            <w:pPr>
              <w:keepLines w:val="0"/>
              <w:pageBreakBefore w:val="0"/>
              <w:kinsoku/>
              <w:overflowPunct/>
              <w:bidi w:val="0"/>
              <w:spacing w:line="360" w:lineRule="auto"/>
              <w:outlineLvl w:val="5"/>
              <w:rPr>
                <w:rFonts w:hAnsi="宋体" w:cs="宋体"/>
                <w:b/>
                <w:color w:val="auto"/>
                <w:highlight w:val="none"/>
                <w:lang w:val="zh-CN"/>
              </w:rPr>
            </w:pPr>
            <w:r>
              <w:rPr>
                <w:rFonts w:hint="eastAsia" w:hAnsi="宋体" w:cs="宋体"/>
                <w:b/>
                <w:color w:val="auto"/>
                <w:highlight w:val="none"/>
                <w:lang w:val="zh-CN"/>
              </w:rPr>
              <w:t>（实质性要求）</w:t>
            </w:r>
          </w:p>
        </w:tc>
        <w:tc>
          <w:tcPr>
            <w:tcW w:w="6966" w:type="dxa"/>
            <w:tcBorders>
              <w:top w:val="single" w:color="auto" w:sz="4" w:space="0"/>
            </w:tcBorders>
            <w:noWrap/>
          </w:tcPr>
          <w:p w14:paraId="1B0626BB">
            <w:pPr>
              <w:keepLines w:val="0"/>
              <w:pageBreakBefore w:val="0"/>
              <w:kinsoku/>
              <w:overflowPunct/>
              <w:bidi w:val="0"/>
              <w:spacing w:line="360" w:lineRule="auto"/>
              <w:outlineLvl w:val="5"/>
              <w:rPr>
                <w:rFonts w:hint="default" w:eastAsia="宋体"/>
                <w:color w:val="auto"/>
                <w:highlight w:val="none"/>
                <w:lang w:val="en-US" w:eastAsia="zh-CN"/>
              </w:rPr>
            </w:pPr>
            <w:r>
              <w:rPr>
                <w:rFonts w:hint="eastAsia"/>
                <w:color w:val="auto"/>
                <w:highlight w:val="none"/>
              </w:rPr>
              <w:t>本项目最高限价为：</w:t>
            </w:r>
            <w:r>
              <w:rPr>
                <w:rFonts w:hint="eastAsia" w:hAnsi="宋体" w:cs="宋体"/>
                <w:color w:val="auto"/>
                <w:highlight w:val="none"/>
                <w:lang w:val="en-US" w:eastAsia="zh-CN"/>
              </w:rPr>
              <w:t>65万元</w:t>
            </w:r>
            <w:r>
              <w:rPr>
                <w:rFonts w:hint="eastAsia"/>
                <w:color w:val="auto"/>
                <w:highlight w:val="none"/>
                <w:lang w:val="en-US" w:eastAsia="zh-CN"/>
              </w:rPr>
              <w:t>。</w:t>
            </w:r>
          </w:p>
          <w:p w14:paraId="0ACFA0D6">
            <w:pPr>
              <w:pStyle w:val="18"/>
              <w:keepLines w:val="0"/>
              <w:pageBreakBefore w:val="0"/>
              <w:kinsoku/>
              <w:overflowPunct/>
              <w:bidi w:val="0"/>
              <w:spacing w:line="360" w:lineRule="auto"/>
              <w:rPr>
                <w:color w:val="auto"/>
                <w:highlight w:val="none"/>
              </w:rPr>
            </w:pPr>
            <w:r>
              <w:rPr>
                <w:rFonts w:hint="eastAsia" w:hAnsi="宋体" w:cs="宋体"/>
                <w:color w:val="auto"/>
                <w:kern w:val="0"/>
                <w:sz w:val="24"/>
                <w:highlight w:val="none"/>
              </w:rPr>
              <w:t>超过最高限价的报价为无效投标。</w:t>
            </w:r>
          </w:p>
        </w:tc>
      </w:tr>
      <w:tr w14:paraId="5E20DF9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465" w:type="dxa"/>
            <w:noWrap/>
            <w:vAlign w:val="center"/>
          </w:tcPr>
          <w:p w14:paraId="08E40E51">
            <w:pPr>
              <w:keepLines w:val="0"/>
              <w:pageBreakBefore w:val="0"/>
              <w:kinsoku/>
              <w:overflowPunct/>
              <w:bidi w:val="0"/>
              <w:spacing w:line="360" w:lineRule="auto"/>
              <w:jc w:val="center"/>
              <w:outlineLvl w:val="5"/>
              <w:rPr>
                <w:rFonts w:hAnsi="宋体" w:cs="宋体"/>
                <w:color w:val="auto"/>
                <w:highlight w:val="none"/>
                <w:lang w:val="zh-CN"/>
              </w:rPr>
            </w:pPr>
            <w:r>
              <w:rPr>
                <w:rFonts w:hAnsi="宋体" w:cs="宋体"/>
                <w:color w:val="auto"/>
                <w:highlight w:val="none"/>
                <w:lang w:val="zh-CN"/>
              </w:rPr>
              <w:t>8</w:t>
            </w:r>
          </w:p>
        </w:tc>
        <w:tc>
          <w:tcPr>
            <w:tcW w:w="1968" w:type="dxa"/>
            <w:noWrap/>
            <w:vAlign w:val="center"/>
          </w:tcPr>
          <w:p w14:paraId="1FD80389">
            <w:pPr>
              <w:keepLines w:val="0"/>
              <w:pageBreakBefore w:val="0"/>
              <w:kinsoku/>
              <w:overflowPunct/>
              <w:bidi w:val="0"/>
              <w:spacing w:line="360" w:lineRule="auto"/>
              <w:outlineLvl w:val="5"/>
              <w:rPr>
                <w:rFonts w:hAnsi="宋体" w:cs="宋体"/>
                <w:color w:val="auto"/>
                <w:highlight w:val="none"/>
                <w:lang w:val="zh-CN"/>
              </w:rPr>
            </w:pPr>
            <w:r>
              <w:rPr>
                <w:rFonts w:hint="eastAsia" w:hAnsi="宋体" w:cs="宋体"/>
                <w:color w:val="auto"/>
                <w:highlight w:val="none"/>
                <w:lang w:val="zh-CN"/>
              </w:rPr>
              <w:t>低于成本价不正当</w:t>
            </w:r>
          </w:p>
          <w:p w14:paraId="1A8ABF66">
            <w:pPr>
              <w:keepLines w:val="0"/>
              <w:pageBreakBefore w:val="0"/>
              <w:kinsoku/>
              <w:overflowPunct/>
              <w:bidi w:val="0"/>
              <w:spacing w:line="360" w:lineRule="auto"/>
              <w:outlineLvl w:val="5"/>
              <w:rPr>
                <w:rFonts w:hAnsi="宋体" w:cs="宋体"/>
                <w:color w:val="auto"/>
                <w:highlight w:val="none"/>
                <w:lang w:val="zh-CN"/>
              </w:rPr>
            </w:pPr>
            <w:r>
              <w:rPr>
                <w:rFonts w:hint="eastAsia" w:hAnsi="宋体" w:cs="宋体"/>
                <w:color w:val="auto"/>
                <w:highlight w:val="none"/>
                <w:lang w:val="zh-CN"/>
              </w:rPr>
              <w:t>竞争预防措施</w:t>
            </w:r>
          </w:p>
          <w:p w14:paraId="1C9BB37B">
            <w:pPr>
              <w:keepLines w:val="0"/>
              <w:pageBreakBefore w:val="0"/>
              <w:kinsoku/>
              <w:overflowPunct/>
              <w:bidi w:val="0"/>
              <w:spacing w:line="360" w:lineRule="auto"/>
              <w:outlineLvl w:val="5"/>
              <w:rPr>
                <w:rFonts w:hAnsi="宋体" w:cs="宋体"/>
                <w:b/>
                <w:color w:val="auto"/>
                <w:highlight w:val="none"/>
                <w:lang w:val="zh-CN"/>
              </w:rPr>
            </w:pPr>
            <w:r>
              <w:rPr>
                <w:rFonts w:hint="eastAsia" w:hAnsi="宋体" w:cs="宋体"/>
                <w:b/>
                <w:color w:val="auto"/>
                <w:highlight w:val="none"/>
                <w:lang w:val="zh-CN"/>
              </w:rPr>
              <w:t>（实质性要求）</w:t>
            </w:r>
          </w:p>
        </w:tc>
        <w:tc>
          <w:tcPr>
            <w:tcW w:w="6966" w:type="dxa"/>
            <w:noWrap/>
            <w:vAlign w:val="center"/>
          </w:tcPr>
          <w:p w14:paraId="45D4AF59">
            <w:pPr>
              <w:keepLines w:val="0"/>
              <w:pageBreakBefore w:val="0"/>
              <w:kinsoku/>
              <w:overflowPunct/>
              <w:bidi w:val="0"/>
              <w:spacing w:line="360" w:lineRule="auto"/>
              <w:outlineLvl w:val="5"/>
              <w:rPr>
                <w:rFonts w:hAnsi="宋体" w:cs="宋体"/>
                <w:color w:val="auto"/>
                <w:highlight w:val="none"/>
                <w:lang w:val="zh-CN"/>
              </w:rPr>
            </w:pPr>
            <w:r>
              <w:rPr>
                <w:rFonts w:hint="eastAsia" w:hAnsi="宋体" w:cs="宋体"/>
                <w:color w:val="auto"/>
                <w:highlight w:val="none"/>
                <w:lang w:val="zh-CN"/>
              </w:rPr>
              <w:t>在评标过程中，评标委员会认为投标人的报价明显低于其他通过符合性审查投标人的报价，有可能影响产品质量或者不能诚信履约的，应当要求其在评标现场合理的时间内提供书面说明，必要时提交相关证明材料。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14:paraId="06C876AF">
            <w:pPr>
              <w:keepLines w:val="0"/>
              <w:pageBreakBefore w:val="0"/>
              <w:kinsoku/>
              <w:overflowPunct/>
              <w:bidi w:val="0"/>
              <w:spacing w:line="360" w:lineRule="auto"/>
              <w:outlineLvl w:val="5"/>
              <w:rPr>
                <w:rFonts w:hAnsi="宋体" w:cs="宋体"/>
                <w:bCs/>
                <w:color w:val="auto"/>
                <w:highlight w:val="none"/>
              </w:rPr>
            </w:pPr>
            <w:r>
              <w:rPr>
                <w:rFonts w:hint="eastAsia" w:hAnsi="宋体" w:cs="宋体"/>
                <w:color w:val="auto"/>
                <w:highlight w:val="none"/>
                <w:lang w:val="zh-CN"/>
              </w:rPr>
              <w:t>供应商书面说明应当签字确认或者加盖公章，否则无效。书面说</w:t>
            </w:r>
            <w:r>
              <w:rPr>
                <w:rFonts w:hint="eastAsia" w:hAnsi="宋体" w:cs="宋体"/>
                <w:bCs/>
                <w:color w:val="auto"/>
                <w:highlight w:val="none"/>
              </w:rPr>
              <w:t>明的签字确认，由其法定代表人/主要负责人/本人或者其授权代表签字确认。</w:t>
            </w:r>
          </w:p>
          <w:p w14:paraId="553B4118">
            <w:pPr>
              <w:keepLines w:val="0"/>
              <w:pageBreakBefore w:val="0"/>
              <w:kinsoku/>
              <w:overflowPunct/>
              <w:bidi w:val="0"/>
              <w:spacing w:line="360" w:lineRule="auto"/>
              <w:outlineLvl w:val="5"/>
              <w:rPr>
                <w:rFonts w:hAnsi="宋体" w:cs="宋体"/>
                <w:color w:val="auto"/>
                <w:highlight w:val="none"/>
                <w:lang w:val="zh-CN"/>
              </w:rPr>
            </w:pPr>
            <w:r>
              <w:rPr>
                <w:rFonts w:hint="eastAsia" w:hAnsi="宋体" w:cs="宋体"/>
                <w:color w:val="auto"/>
                <w:highlight w:val="none"/>
                <w:lang w:val="zh-CN"/>
              </w:rPr>
              <w:t>供应商提供书面说明后，评标委员会应当结合采购项目采购需求、专业实际情况、供应商财务状况报告、与其他供应商比较情况等就供应商书面说明进行审查评价。供应商拒绝或者变相拒绝提供有效书面说明或者书面说明不能证明其报价合理性的，评标委员会应当将其投标文件作为无效处理。</w:t>
            </w:r>
          </w:p>
        </w:tc>
      </w:tr>
      <w:tr w14:paraId="143B5FD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465" w:type="dxa"/>
            <w:noWrap/>
            <w:vAlign w:val="center"/>
          </w:tcPr>
          <w:p w14:paraId="066853E9">
            <w:pPr>
              <w:keepLines w:val="0"/>
              <w:pageBreakBefore w:val="0"/>
              <w:kinsoku/>
              <w:overflowPunct/>
              <w:bidi w:val="0"/>
              <w:spacing w:line="360" w:lineRule="auto"/>
              <w:jc w:val="center"/>
              <w:outlineLvl w:val="5"/>
              <w:rPr>
                <w:rFonts w:hAnsi="宋体" w:cs="宋体"/>
                <w:color w:val="auto"/>
                <w:highlight w:val="none"/>
                <w:lang w:val="zh-CN"/>
              </w:rPr>
            </w:pPr>
            <w:r>
              <w:rPr>
                <w:rFonts w:hAnsi="宋体" w:cs="宋体"/>
                <w:color w:val="auto"/>
                <w:highlight w:val="none"/>
                <w:lang w:val="zh-CN"/>
              </w:rPr>
              <w:t>9</w:t>
            </w:r>
          </w:p>
        </w:tc>
        <w:tc>
          <w:tcPr>
            <w:tcW w:w="1968" w:type="dxa"/>
            <w:noWrap/>
            <w:vAlign w:val="center"/>
          </w:tcPr>
          <w:p w14:paraId="0E1487FD">
            <w:pPr>
              <w:keepLines w:val="0"/>
              <w:pageBreakBefore w:val="0"/>
              <w:kinsoku/>
              <w:overflowPunct/>
              <w:bidi w:val="0"/>
              <w:spacing w:line="360" w:lineRule="auto"/>
              <w:outlineLvl w:val="5"/>
              <w:rPr>
                <w:rFonts w:hAnsi="宋体" w:cs="宋体"/>
                <w:color w:val="auto"/>
                <w:highlight w:val="none"/>
                <w:lang w:val="zh-CN"/>
              </w:rPr>
            </w:pPr>
            <w:r>
              <w:rPr>
                <w:rFonts w:hint="eastAsia" w:hAnsi="宋体" w:cs="宋体"/>
                <w:color w:val="auto"/>
                <w:highlight w:val="none"/>
                <w:lang w:val="zh-CN"/>
              </w:rPr>
              <w:t>采购方式</w:t>
            </w:r>
          </w:p>
        </w:tc>
        <w:tc>
          <w:tcPr>
            <w:tcW w:w="6966" w:type="dxa"/>
            <w:noWrap/>
            <w:vAlign w:val="center"/>
          </w:tcPr>
          <w:p w14:paraId="63A28502">
            <w:pPr>
              <w:keepLines w:val="0"/>
              <w:pageBreakBefore w:val="0"/>
              <w:kinsoku/>
              <w:overflowPunct/>
              <w:bidi w:val="0"/>
              <w:spacing w:line="360" w:lineRule="auto"/>
              <w:outlineLvl w:val="5"/>
              <w:rPr>
                <w:rFonts w:hAnsi="宋体" w:cs="宋体"/>
                <w:color w:val="auto"/>
                <w:highlight w:val="none"/>
                <w:lang w:val="zh-CN"/>
              </w:rPr>
            </w:pPr>
            <w:r>
              <w:rPr>
                <w:rFonts w:hint="eastAsia" w:hAnsi="宋体" w:cs="宋体"/>
                <w:color w:val="auto"/>
                <w:highlight w:val="none"/>
                <w:lang w:val="zh-CN"/>
              </w:rPr>
              <w:t>公开招标</w:t>
            </w:r>
          </w:p>
        </w:tc>
      </w:tr>
      <w:tr w14:paraId="09022EF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465" w:type="dxa"/>
            <w:tcBorders>
              <w:bottom w:val="single" w:color="auto" w:sz="4" w:space="0"/>
            </w:tcBorders>
            <w:noWrap/>
            <w:vAlign w:val="center"/>
          </w:tcPr>
          <w:p w14:paraId="2E402BEE">
            <w:pPr>
              <w:keepLines w:val="0"/>
              <w:pageBreakBefore w:val="0"/>
              <w:kinsoku/>
              <w:overflowPunct/>
              <w:bidi w:val="0"/>
              <w:spacing w:line="360" w:lineRule="auto"/>
              <w:jc w:val="center"/>
              <w:outlineLvl w:val="5"/>
              <w:rPr>
                <w:rFonts w:hAnsi="宋体" w:cs="宋体"/>
                <w:color w:val="auto"/>
                <w:highlight w:val="none"/>
                <w:lang w:val="zh-CN"/>
              </w:rPr>
            </w:pPr>
            <w:r>
              <w:rPr>
                <w:rFonts w:hAnsi="宋体" w:cs="宋体"/>
                <w:color w:val="auto"/>
                <w:highlight w:val="none"/>
                <w:lang w:val="zh-CN"/>
              </w:rPr>
              <w:t>10</w:t>
            </w:r>
          </w:p>
        </w:tc>
        <w:tc>
          <w:tcPr>
            <w:tcW w:w="1968" w:type="dxa"/>
            <w:tcBorders>
              <w:bottom w:val="single" w:color="auto" w:sz="4" w:space="0"/>
            </w:tcBorders>
            <w:noWrap/>
            <w:vAlign w:val="center"/>
          </w:tcPr>
          <w:p w14:paraId="3BAC6529">
            <w:pPr>
              <w:keepLines w:val="0"/>
              <w:pageBreakBefore w:val="0"/>
              <w:kinsoku/>
              <w:overflowPunct/>
              <w:bidi w:val="0"/>
              <w:spacing w:line="360" w:lineRule="auto"/>
              <w:outlineLvl w:val="5"/>
              <w:rPr>
                <w:rFonts w:hAnsi="宋体" w:cs="宋体"/>
                <w:color w:val="auto"/>
                <w:highlight w:val="none"/>
                <w:lang w:val="zh-CN"/>
              </w:rPr>
            </w:pPr>
            <w:r>
              <w:rPr>
                <w:rFonts w:hint="eastAsia" w:hAnsi="宋体" w:cs="宋体"/>
                <w:color w:val="auto"/>
                <w:highlight w:val="none"/>
                <w:lang w:val="zh-CN"/>
              </w:rPr>
              <w:t>评标方法</w:t>
            </w:r>
          </w:p>
        </w:tc>
        <w:tc>
          <w:tcPr>
            <w:tcW w:w="6966" w:type="dxa"/>
            <w:tcBorders>
              <w:bottom w:val="single" w:color="auto" w:sz="4" w:space="0"/>
            </w:tcBorders>
            <w:noWrap/>
            <w:vAlign w:val="center"/>
          </w:tcPr>
          <w:p w14:paraId="402CCD10">
            <w:pPr>
              <w:keepLines w:val="0"/>
              <w:pageBreakBefore w:val="0"/>
              <w:kinsoku/>
              <w:overflowPunct/>
              <w:bidi w:val="0"/>
              <w:spacing w:line="360" w:lineRule="auto"/>
              <w:outlineLvl w:val="5"/>
              <w:rPr>
                <w:rFonts w:hAnsi="宋体" w:cs="宋体"/>
                <w:color w:val="auto"/>
                <w:highlight w:val="none"/>
                <w:lang w:val="zh-CN"/>
              </w:rPr>
            </w:pPr>
            <w:r>
              <w:rPr>
                <w:rFonts w:hint="eastAsia" w:hAnsi="宋体" w:cs="宋体"/>
                <w:color w:val="auto"/>
                <w:highlight w:val="none"/>
                <w:lang w:val="zh-CN"/>
              </w:rPr>
              <w:t>综合评分法</w:t>
            </w:r>
          </w:p>
        </w:tc>
      </w:tr>
      <w:tr w14:paraId="6A15A69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465" w:type="dxa"/>
            <w:tcBorders>
              <w:bottom w:val="single" w:color="auto" w:sz="4" w:space="0"/>
            </w:tcBorders>
            <w:shd w:val="clear" w:color="auto" w:fill="auto"/>
            <w:noWrap/>
            <w:vAlign w:val="center"/>
          </w:tcPr>
          <w:p w14:paraId="558059B0">
            <w:pPr>
              <w:keepLines w:val="0"/>
              <w:pageBreakBefore w:val="0"/>
              <w:kinsoku/>
              <w:overflowPunct/>
              <w:bidi w:val="0"/>
              <w:spacing w:line="360" w:lineRule="auto"/>
              <w:jc w:val="center"/>
              <w:outlineLvl w:val="5"/>
              <w:rPr>
                <w:rFonts w:hint="default" w:ascii="Times New Roman" w:hAnsi="宋体" w:eastAsia="宋体" w:cs="宋体"/>
                <w:color w:val="FF0000"/>
                <w:sz w:val="24"/>
                <w:szCs w:val="24"/>
                <w:highlight w:val="none"/>
                <w:lang w:val="zh-CN" w:eastAsia="zh-CN" w:bidi="ar-SA"/>
              </w:rPr>
            </w:pPr>
            <w:r>
              <w:rPr>
                <w:rFonts w:hint="eastAsia" w:hAnsi="宋体" w:cs="宋体"/>
                <w:color w:val="FF0000"/>
                <w:highlight w:val="none"/>
                <w:lang w:val="en-US" w:eastAsia="zh-CN"/>
              </w:rPr>
              <w:t>11</w:t>
            </w:r>
          </w:p>
        </w:tc>
        <w:tc>
          <w:tcPr>
            <w:tcW w:w="1968" w:type="dxa"/>
            <w:tcBorders>
              <w:bottom w:val="single" w:color="auto" w:sz="4" w:space="0"/>
            </w:tcBorders>
            <w:noWrap/>
            <w:vAlign w:val="center"/>
          </w:tcPr>
          <w:p w14:paraId="02471D75">
            <w:pPr>
              <w:pStyle w:val="99"/>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小微企业（监狱企业、残疾人福利性单位视同小微企业）价格扣除</w:t>
            </w:r>
          </w:p>
          <w:p w14:paraId="39F75C7D">
            <w:pPr>
              <w:pStyle w:val="99"/>
              <w:spacing w:line="360" w:lineRule="auto"/>
              <w:rPr>
                <w:rFonts w:hint="eastAsia" w:hAnsi="宋体" w:cs="宋体"/>
                <w:color w:val="auto"/>
                <w:highlight w:val="none"/>
                <w:lang w:val="zh-CN"/>
              </w:rPr>
            </w:pPr>
            <w:r>
              <w:rPr>
                <w:rFonts w:hint="eastAsia" w:asciiTheme="minorEastAsia" w:hAnsiTheme="minorEastAsia" w:eastAsiaTheme="minorEastAsia" w:cstheme="minorEastAsia"/>
                <w:b/>
                <w:color w:val="auto"/>
                <w:kern w:val="2"/>
                <w:highlight w:val="none"/>
              </w:rPr>
              <w:t>（实质性要求）</w:t>
            </w:r>
          </w:p>
        </w:tc>
        <w:tc>
          <w:tcPr>
            <w:tcW w:w="6966" w:type="dxa"/>
            <w:tcBorders>
              <w:bottom w:val="single" w:color="auto" w:sz="4" w:space="0"/>
            </w:tcBorders>
            <w:noWrap/>
            <w:vAlign w:val="center"/>
          </w:tcPr>
          <w:p w14:paraId="53A73231">
            <w:pPr>
              <w:spacing w:line="360" w:lineRule="auto"/>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rPr>
              <w:t>一、小微企业（监狱企业、</w:t>
            </w:r>
            <w:r>
              <w:rPr>
                <w:rFonts w:hint="eastAsia" w:asciiTheme="minorEastAsia" w:hAnsiTheme="minorEastAsia" w:eastAsiaTheme="minorEastAsia" w:cstheme="minorEastAsia"/>
                <w:color w:val="auto"/>
                <w:highlight w:val="none"/>
                <w:shd w:val="clear" w:color="auto" w:fill="FFFFFF"/>
              </w:rPr>
              <w:t>残疾人福利性单位</w:t>
            </w:r>
            <w:r>
              <w:rPr>
                <w:rFonts w:hint="eastAsia" w:asciiTheme="minorEastAsia" w:hAnsiTheme="minorEastAsia" w:eastAsiaTheme="minorEastAsia" w:cstheme="minorEastAsia"/>
                <w:color w:val="auto"/>
                <w:highlight w:val="none"/>
              </w:rPr>
              <w:t>视同小微企业）价格扣除</w:t>
            </w:r>
          </w:p>
          <w:p w14:paraId="2691F214">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1、根据《政府采购促进中小企业发展管理办法》（财库〔2020〕46号）及《关于进一步加大政府采购支持中小企业力度的通知》（财库〔2022〕19号）的规定，对小型和微型企业产品的价格给予</w:t>
            </w:r>
            <w:r>
              <w:rPr>
                <w:rFonts w:hint="eastAsia" w:asciiTheme="minorEastAsia" w:hAnsiTheme="minorEastAsia" w:eastAsiaTheme="minorEastAsia" w:cstheme="minorEastAsia"/>
                <w:color w:val="auto"/>
                <w:highlight w:val="none"/>
                <w:lang w:val="en-US" w:eastAsia="zh-CN"/>
              </w:rPr>
              <w:t>1</w:t>
            </w:r>
            <w:r>
              <w:rPr>
                <w:rFonts w:hint="eastAsia" w:asciiTheme="minorEastAsia" w:hAnsiTheme="minorEastAsia" w:eastAsiaTheme="minorEastAsia" w:cstheme="minorEastAsia"/>
                <w:color w:val="auto"/>
                <w:highlight w:val="none"/>
              </w:rPr>
              <w:t>0%的价格扣除，用扣除后的价格参与评审。</w:t>
            </w:r>
          </w:p>
          <w:p w14:paraId="2C34F835">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2、参加政府采购活动的中小微企业应当提供《中小企业声明函》原件。若为监狱企业应当提供《监狱企业证明》。若为残疾人福利性单位应当提供《残疾人福利性单位声明函》。</w:t>
            </w:r>
          </w:p>
          <w:p w14:paraId="17845527">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3.本项目采购内容对应的中小企业划分标准所属行业：</w:t>
            </w:r>
            <w:r>
              <w:rPr>
                <w:rFonts w:hint="eastAsia" w:asciiTheme="minorEastAsia" w:hAnsiTheme="minorEastAsia" w:eastAsiaTheme="minorEastAsia" w:cstheme="minorEastAsia"/>
                <w:b/>
                <w:bCs/>
                <w:color w:val="auto"/>
                <w:highlight w:val="none"/>
                <w:u w:val="single"/>
              </w:rPr>
              <w:t>工业。</w:t>
            </w:r>
          </w:p>
          <w:p w14:paraId="7BA9710E">
            <w:pPr>
              <w:spacing w:line="360" w:lineRule="auto"/>
              <w:rPr>
                <w:rFonts w:hint="eastAsia" w:hAnsi="宋体" w:cs="宋体"/>
                <w:color w:val="auto"/>
                <w:highlight w:val="none"/>
                <w:lang w:val="zh-CN"/>
              </w:rPr>
            </w:pPr>
            <w:r>
              <w:rPr>
                <w:rFonts w:hint="eastAsia" w:asciiTheme="minorEastAsia" w:hAnsiTheme="minorEastAsia" w:eastAsiaTheme="minorEastAsia" w:cstheme="minorEastAsia"/>
                <w:color w:val="auto"/>
                <w:highlight w:val="none"/>
              </w:rPr>
              <w:t>注：供应商提供的货物制造商在中华人民共和国境内依法设立，符合《工业和信息化部、国家统计局、国家发展和改革委员会、财政部关于印发中小企业划型标准规定的通知》（工信部联企业〔2011〕300号）规定的划分标准为小微企业，但与大企业的负责人为同一人，或者与大企业存在直接控股、管理关系的除外适用。符合中小企业划分标准的个体工商户，在政府采购活动中视同中小企业。按照财库[2014]68号文的规定监狱企业视同为小微企业。按照财库〔2017〕141号文的规定残疾人福利性单位视同为小微企业。</w:t>
            </w:r>
          </w:p>
        </w:tc>
      </w:tr>
      <w:tr w14:paraId="14CAE6A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465" w:type="dxa"/>
            <w:tcBorders>
              <w:top w:val="single" w:color="auto" w:sz="4" w:space="0"/>
            </w:tcBorders>
            <w:shd w:val="clear" w:color="auto" w:fill="auto"/>
            <w:noWrap/>
            <w:vAlign w:val="center"/>
          </w:tcPr>
          <w:p w14:paraId="4CD7D9A7">
            <w:pPr>
              <w:keepLines w:val="0"/>
              <w:pageBreakBefore w:val="0"/>
              <w:kinsoku/>
              <w:overflowPunct/>
              <w:bidi w:val="0"/>
              <w:spacing w:line="360" w:lineRule="auto"/>
              <w:jc w:val="center"/>
              <w:outlineLvl w:val="5"/>
              <w:rPr>
                <w:rFonts w:hint="default" w:ascii="Times New Roman" w:hAnsi="宋体" w:eastAsia="宋体" w:cs="宋体"/>
                <w:color w:val="auto"/>
                <w:sz w:val="24"/>
                <w:szCs w:val="24"/>
                <w:highlight w:val="none"/>
                <w:lang w:val="en-US" w:eastAsia="zh-CN" w:bidi="ar-SA"/>
              </w:rPr>
            </w:pPr>
            <w:r>
              <w:rPr>
                <w:rFonts w:hint="eastAsia" w:hAnsi="宋体" w:cs="宋体"/>
                <w:color w:val="auto"/>
                <w:highlight w:val="none"/>
                <w:lang w:val="en-US" w:eastAsia="zh-CN"/>
              </w:rPr>
              <w:t>12</w:t>
            </w:r>
          </w:p>
        </w:tc>
        <w:tc>
          <w:tcPr>
            <w:tcW w:w="1968" w:type="dxa"/>
            <w:tcBorders>
              <w:top w:val="single" w:color="auto" w:sz="4" w:space="0"/>
            </w:tcBorders>
            <w:noWrap/>
            <w:vAlign w:val="center"/>
          </w:tcPr>
          <w:p w14:paraId="31F93391">
            <w:pPr>
              <w:keepLines w:val="0"/>
              <w:pageBreakBefore w:val="0"/>
              <w:kinsoku/>
              <w:overflowPunct/>
              <w:bidi w:val="0"/>
              <w:spacing w:line="360" w:lineRule="auto"/>
              <w:ind w:right="120" w:rightChars="50"/>
              <w:rPr>
                <w:rFonts w:hAnsi="宋体"/>
                <w:color w:val="auto"/>
                <w:highlight w:val="none"/>
              </w:rPr>
            </w:pPr>
            <w:r>
              <w:rPr>
                <w:rFonts w:hint="eastAsia" w:hAnsi="宋体"/>
                <w:color w:val="auto"/>
                <w:highlight w:val="none"/>
              </w:rPr>
              <w:t>评标情况公告</w:t>
            </w:r>
          </w:p>
        </w:tc>
        <w:tc>
          <w:tcPr>
            <w:tcW w:w="6966" w:type="dxa"/>
            <w:tcBorders>
              <w:top w:val="single" w:color="auto" w:sz="4" w:space="0"/>
            </w:tcBorders>
            <w:noWrap/>
            <w:vAlign w:val="center"/>
          </w:tcPr>
          <w:p w14:paraId="55B718CE">
            <w:pPr>
              <w:keepLines w:val="0"/>
              <w:pageBreakBefore w:val="0"/>
              <w:kinsoku/>
              <w:overflowPunct/>
              <w:bidi w:val="0"/>
              <w:spacing w:line="360" w:lineRule="auto"/>
              <w:rPr>
                <w:rFonts w:hAnsi="宋体"/>
                <w:color w:val="auto"/>
                <w:highlight w:val="none"/>
              </w:rPr>
            </w:pPr>
            <w:r>
              <w:rPr>
                <w:rFonts w:hint="eastAsia" w:hAnsi="宋体"/>
                <w:color w:val="auto"/>
                <w:highlight w:val="none"/>
              </w:rPr>
              <w:t>所有供应商评标结果将在“</w:t>
            </w:r>
            <w:r>
              <w:rPr>
                <w:rFonts w:hint="eastAsia" w:hAnsi="宋体"/>
                <w:color w:val="auto"/>
                <w:highlight w:val="none"/>
                <w:lang w:eastAsia="zh-CN"/>
              </w:rPr>
              <w:t>中国政府采购网</w:t>
            </w:r>
            <w:r>
              <w:rPr>
                <w:rFonts w:hint="eastAsia" w:hAnsi="宋体"/>
                <w:color w:val="auto"/>
                <w:highlight w:val="none"/>
              </w:rPr>
              <w:t>”上采购结果公告栏中予以公告。</w:t>
            </w:r>
          </w:p>
        </w:tc>
      </w:tr>
      <w:tr w14:paraId="035C51BB">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465" w:type="dxa"/>
            <w:shd w:val="clear" w:color="auto" w:fill="auto"/>
            <w:noWrap/>
            <w:vAlign w:val="center"/>
          </w:tcPr>
          <w:p w14:paraId="4095317E">
            <w:pPr>
              <w:keepLines w:val="0"/>
              <w:pageBreakBefore w:val="0"/>
              <w:kinsoku/>
              <w:overflowPunct/>
              <w:bidi w:val="0"/>
              <w:spacing w:line="360" w:lineRule="auto"/>
              <w:jc w:val="center"/>
              <w:outlineLvl w:val="5"/>
              <w:rPr>
                <w:rFonts w:hint="default" w:ascii="Times New Roman" w:hAnsi="宋体" w:eastAsia="宋体" w:cs="宋体"/>
                <w:color w:val="auto"/>
                <w:sz w:val="24"/>
                <w:szCs w:val="24"/>
                <w:highlight w:val="none"/>
                <w:lang w:val="en-US" w:eastAsia="zh-CN" w:bidi="ar-SA"/>
              </w:rPr>
            </w:pPr>
            <w:r>
              <w:rPr>
                <w:rFonts w:hint="eastAsia" w:hAnsi="宋体" w:cs="宋体"/>
                <w:color w:val="auto"/>
                <w:highlight w:val="none"/>
                <w:lang w:val="en-US" w:eastAsia="zh-CN"/>
              </w:rPr>
              <w:t>13</w:t>
            </w:r>
          </w:p>
        </w:tc>
        <w:tc>
          <w:tcPr>
            <w:tcW w:w="1968" w:type="dxa"/>
            <w:noWrap/>
            <w:vAlign w:val="center"/>
          </w:tcPr>
          <w:p w14:paraId="22F3B93B">
            <w:pPr>
              <w:keepLines w:val="0"/>
              <w:pageBreakBefore w:val="0"/>
              <w:kinsoku/>
              <w:overflowPunct/>
              <w:bidi w:val="0"/>
              <w:spacing w:line="360" w:lineRule="auto"/>
              <w:outlineLvl w:val="5"/>
              <w:rPr>
                <w:rFonts w:hAnsi="宋体" w:cs="宋体"/>
                <w:color w:val="auto"/>
                <w:highlight w:val="none"/>
                <w:lang w:val="zh-CN"/>
              </w:rPr>
            </w:pPr>
            <w:r>
              <w:rPr>
                <w:rFonts w:hint="eastAsia" w:hAnsi="宋体" w:cs="宋体"/>
                <w:color w:val="auto"/>
                <w:highlight w:val="none"/>
                <w:lang w:val="zh-CN"/>
              </w:rPr>
              <w:t>考察现场、标前答疑会</w:t>
            </w:r>
          </w:p>
        </w:tc>
        <w:tc>
          <w:tcPr>
            <w:tcW w:w="6966" w:type="dxa"/>
            <w:noWrap/>
            <w:vAlign w:val="center"/>
          </w:tcPr>
          <w:p w14:paraId="6F7E888D">
            <w:pPr>
              <w:keepLines w:val="0"/>
              <w:pageBreakBefore w:val="0"/>
              <w:kinsoku/>
              <w:overflowPunct/>
              <w:bidi w:val="0"/>
              <w:spacing w:line="360" w:lineRule="auto"/>
              <w:outlineLvl w:val="5"/>
              <w:rPr>
                <w:rFonts w:hAnsi="宋体" w:cs="宋体"/>
                <w:color w:val="auto"/>
                <w:highlight w:val="none"/>
                <w:lang w:val="zh-CN"/>
              </w:rPr>
            </w:pPr>
            <w:r>
              <w:rPr>
                <w:rFonts w:hint="eastAsia" w:hAnsi="宋体" w:cs="宋体"/>
                <w:color w:val="auto"/>
                <w:highlight w:val="none"/>
                <w:lang w:val="zh-CN"/>
              </w:rPr>
              <w:t>招标采购单位认为有必要，另行书面通知。</w:t>
            </w:r>
          </w:p>
        </w:tc>
      </w:tr>
      <w:tr w14:paraId="0F788EE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465" w:type="dxa"/>
            <w:shd w:val="clear" w:color="auto" w:fill="auto"/>
            <w:noWrap/>
            <w:vAlign w:val="center"/>
          </w:tcPr>
          <w:p w14:paraId="70192412">
            <w:pPr>
              <w:keepLines w:val="0"/>
              <w:pageBreakBefore w:val="0"/>
              <w:kinsoku/>
              <w:overflowPunct/>
              <w:bidi w:val="0"/>
              <w:spacing w:line="360" w:lineRule="auto"/>
              <w:jc w:val="center"/>
              <w:outlineLvl w:val="5"/>
              <w:rPr>
                <w:rFonts w:hint="default" w:ascii="Times New Roman" w:hAnsi="宋体" w:eastAsia="宋体" w:cs="宋体"/>
                <w:color w:val="auto"/>
                <w:sz w:val="24"/>
                <w:szCs w:val="24"/>
                <w:highlight w:val="none"/>
                <w:lang w:val="en-US" w:eastAsia="zh-CN" w:bidi="ar-SA"/>
              </w:rPr>
            </w:pPr>
            <w:r>
              <w:rPr>
                <w:rFonts w:hint="eastAsia" w:hAnsi="宋体" w:cs="宋体"/>
                <w:color w:val="auto"/>
                <w:highlight w:val="none"/>
                <w:lang w:val="en-US" w:eastAsia="zh-CN"/>
              </w:rPr>
              <w:t>14</w:t>
            </w:r>
          </w:p>
        </w:tc>
        <w:tc>
          <w:tcPr>
            <w:tcW w:w="1968" w:type="dxa"/>
            <w:noWrap/>
            <w:vAlign w:val="bottom"/>
          </w:tcPr>
          <w:p w14:paraId="29776C9C">
            <w:pPr>
              <w:keepLines w:val="0"/>
              <w:pageBreakBefore w:val="0"/>
              <w:kinsoku/>
              <w:overflowPunct/>
              <w:bidi w:val="0"/>
              <w:spacing w:line="360" w:lineRule="auto"/>
              <w:ind w:left="-19" w:leftChars="-8"/>
              <w:outlineLvl w:val="5"/>
              <w:rPr>
                <w:rFonts w:hAnsi="宋体" w:cs="宋体"/>
                <w:color w:val="auto"/>
                <w:highlight w:val="none"/>
                <w:lang w:val="zh-CN"/>
              </w:rPr>
            </w:pPr>
            <w:r>
              <w:rPr>
                <w:rFonts w:hint="eastAsia" w:hAnsi="宋体" w:cs="宋体"/>
                <w:color w:val="auto"/>
                <w:highlight w:val="none"/>
                <w:lang w:val="zh-CN"/>
              </w:rPr>
              <w:t>投标人对招标文件提出质疑的时间</w:t>
            </w:r>
          </w:p>
        </w:tc>
        <w:tc>
          <w:tcPr>
            <w:tcW w:w="6966" w:type="dxa"/>
            <w:noWrap/>
            <w:vAlign w:val="center"/>
          </w:tcPr>
          <w:p w14:paraId="59BAAAE0">
            <w:pPr>
              <w:keepLines w:val="0"/>
              <w:pageBreakBefore w:val="0"/>
              <w:kinsoku/>
              <w:overflowPunct/>
              <w:bidi w:val="0"/>
              <w:spacing w:line="360" w:lineRule="auto"/>
              <w:outlineLvl w:val="5"/>
              <w:rPr>
                <w:rFonts w:hAnsi="宋体"/>
                <w:color w:val="auto"/>
                <w:highlight w:val="none"/>
              </w:rPr>
            </w:pPr>
            <w:r>
              <w:rPr>
                <w:rFonts w:hint="eastAsia"/>
                <w:bCs/>
                <w:color w:val="auto"/>
                <w:highlight w:val="none"/>
                <w:lang w:val="en-US" w:eastAsia="zh-CN"/>
              </w:rPr>
              <w:t>参照</w:t>
            </w:r>
            <w:r>
              <w:rPr>
                <w:rFonts w:hint="eastAsia"/>
                <w:bCs/>
                <w:color w:val="auto"/>
                <w:highlight w:val="none"/>
              </w:rPr>
              <w:t>中华人民共和国财政部令第94号《政府采购质疑和投诉办法》规定执行。</w:t>
            </w:r>
          </w:p>
        </w:tc>
      </w:tr>
      <w:tr w14:paraId="2FFC2C6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465" w:type="dxa"/>
            <w:shd w:val="clear" w:color="auto" w:fill="auto"/>
            <w:noWrap/>
            <w:vAlign w:val="center"/>
          </w:tcPr>
          <w:p w14:paraId="7FA4FB9E">
            <w:pPr>
              <w:keepLines w:val="0"/>
              <w:pageBreakBefore w:val="0"/>
              <w:kinsoku/>
              <w:overflowPunct/>
              <w:bidi w:val="0"/>
              <w:spacing w:line="360" w:lineRule="auto"/>
              <w:jc w:val="center"/>
              <w:outlineLvl w:val="5"/>
              <w:rPr>
                <w:rFonts w:hint="default" w:ascii="Times New Roman" w:hAnsi="宋体" w:eastAsia="宋体" w:cs="宋体"/>
                <w:color w:val="auto"/>
                <w:sz w:val="24"/>
                <w:szCs w:val="24"/>
                <w:highlight w:val="none"/>
                <w:lang w:val="en-US" w:eastAsia="zh-CN" w:bidi="ar-SA"/>
              </w:rPr>
            </w:pPr>
            <w:r>
              <w:rPr>
                <w:rFonts w:hint="eastAsia" w:hAnsi="宋体" w:cs="宋体"/>
                <w:color w:val="auto"/>
                <w:highlight w:val="none"/>
                <w:lang w:val="en-US" w:eastAsia="zh-CN"/>
              </w:rPr>
              <w:t>15</w:t>
            </w:r>
          </w:p>
        </w:tc>
        <w:tc>
          <w:tcPr>
            <w:tcW w:w="1968" w:type="dxa"/>
            <w:noWrap/>
            <w:vAlign w:val="center"/>
          </w:tcPr>
          <w:p w14:paraId="58B8DE03">
            <w:pPr>
              <w:keepLines w:val="0"/>
              <w:pageBreakBefore w:val="0"/>
              <w:kinsoku/>
              <w:overflowPunct/>
              <w:bidi w:val="0"/>
              <w:spacing w:line="360" w:lineRule="auto"/>
              <w:outlineLvl w:val="5"/>
              <w:rPr>
                <w:rFonts w:hAnsi="宋体" w:cs="宋体"/>
                <w:color w:val="auto"/>
                <w:highlight w:val="none"/>
                <w:lang w:val="zh-CN"/>
              </w:rPr>
            </w:pPr>
            <w:r>
              <w:rPr>
                <w:rFonts w:hint="eastAsia" w:hAnsi="宋体" w:cs="宋体"/>
                <w:color w:val="auto"/>
                <w:highlight w:val="none"/>
                <w:lang w:val="zh-CN"/>
              </w:rPr>
              <w:t>构成招标文件的其他文件</w:t>
            </w:r>
          </w:p>
        </w:tc>
        <w:tc>
          <w:tcPr>
            <w:tcW w:w="6966" w:type="dxa"/>
            <w:noWrap/>
            <w:vAlign w:val="center"/>
          </w:tcPr>
          <w:p w14:paraId="02D3000B">
            <w:pPr>
              <w:keepLines w:val="0"/>
              <w:pageBreakBefore w:val="0"/>
              <w:kinsoku/>
              <w:overflowPunct/>
              <w:bidi w:val="0"/>
              <w:spacing w:line="360" w:lineRule="auto"/>
              <w:outlineLvl w:val="5"/>
              <w:rPr>
                <w:rFonts w:hAnsi="宋体" w:cs="宋体"/>
                <w:color w:val="auto"/>
                <w:highlight w:val="none"/>
              </w:rPr>
            </w:pPr>
            <w:r>
              <w:rPr>
                <w:rFonts w:hint="eastAsia" w:hAnsi="宋体" w:cs="宋体"/>
                <w:color w:val="auto"/>
                <w:highlight w:val="none"/>
                <w:lang w:val="zh-CN"/>
              </w:rPr>
              <w:t>招标文件的澄清</w:t>
            </w:r>
            <w:r>
              <w:rPr>
                <w:rFonts w:hint="eastAsia" w:hAnsi="宋体" w:cs="宋体"/>
                <w:color w:val="auto"/>
                <w:highlight w:val="none"/>
              </w:rPr>
              <w:t>、修改书及有关补充通知为招标文件的有效组成部分。</w:t>
            </w:r>
          </w:p>
        </w:tc>
      </w:tr>
      <w:tr w14:paraId="128ECB1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465" w:type="dxa"/>
            <w:shd w:val="clear" w:color="auto" w:fill="auto"/>
            <w:noWrap/>
            <w:vAlign w:val="center"/>
          </w:tcPr>
          <w:p w14:paraId="165C340D">
            <w:pPr>
              <w:keepLines w:val="0"/>
              <w:pageBreakBefore w:val="0"/>
              <w:kinsoku/>
              <w:overflowPunct/>
              <w:bidi w:val="0"/>
              <w:spacing w:line="360" w:lineRule="auto"/>
              <w:jc w:val="center"/>
              <w:outlineLvl w:val="5"/>
              <w:rPr>
                <w:rFonts w:hint="default" w:ascii="Times New Roman" w:hAnsi="宋体" w:eastAsia="宋体" w:cs="宋体"/>
                <w:color w:val="auto"/>
                <w:sz w:val="24"/>
                <w:szCs w:val="24"/>
                <w:highlight w:val="none"/>
                <w:lang w:val="en-US" w:eastAsia="zh-CN" w:bidi="ar-SA"/>
              </w:rPr>
            </w:pPr>
            <w:r>
              <w:rPr>
                <w:rFonts w:hint="eastAsia" w:hAnsi="宋体" w:cs="宋体"/>
                <w:color w:val="auto"/>
                <w:highlight w:val="none"/>
                <w:lang w:val="en-US" w:eastAsia="zh-CN"/>
              </w:rPr>
              <w:t>16</w:t>
            </w:r>
          </w:p>
        </w:tc>
        <w:tc>
          <w:tcPr>
            <w:tcW w:w="1968" w:type="dxa"/>
            <w:noWrap/>
            <w:vAlign w:val="center"/>
          </w:tcPr>
          <w:p w14:paraId="0AB65B90">
            <w:pPr>
              <w:keepLines w:val="0"/>
              <w:pageBreakBefore w:val="0"/>
              <w:kinsoku/>
              <w:overflowPunct/>
              <w:bidi w:val="0"/>
              <w:spacing w:line="360" w:lineRule="auto"/>
              <w:outlineLvl w:val="5"/>
              <w:rPr>
                <w:rFonts w:hAnsi="宋体" w:cs="宋体"/>
                <w:color w:val="auto"/>
                <w:highlight w:val="none"/>
                <w:lang w:val="zh-CN"/>
              </w:rPr>
            </w:pPr>
            <w:r>
              <w:rPr>
                <w:rFonts w:hint="eastAsia" w:hAnsi="宋体" w:cs="宋体"/>
                <w:color w:val="auto"/>
                <w:highlight w:val="none"/>
                <w:lang w:val="zh-CN"/>
              </w:rPr>
              <w:t>投标有效期</w:t>
            </w:r>
          </w:p>
        </w:tc>
        <w:tc>
          <w:tcPr>
            <w:tcW w:w="6966" w:type="dxa"/>
            <w:noWrap/>
            <w:vAlign w:val="center"/>
          </w:tcPr>
          <w:p w14:paraId="2A5819FC">
            <w:pPr>
              <w:keepLines w:val="0"/>
              <w:pageBreakBefore w:val="0"/>
              <w:kinsoku/>
              <w:overflowPunct/>
              <w:bidi w:val="0"/>
              <w:spacing w:line="360" w:lineRule="auto"/>
              <w:outlineLvl w:val="5"/>
              <w:rPr>
                <w:rFonts w:hAnsi="宋体" w:cs="宋体"/>
                <w:color w:val="auto"/>
                <w:highlight w:val="none"/>
              </w:rPr>
            </w:pPr>
            <w:r>
              <w:rPr>
                <w:rFonts w:hint="eastAsia" w:hAnsi="宋体" w:cs="宋体"/>
                <w:color w:val="auto"/>
                <w:highlight w:val="none"/>
              </w:rPr>
              <w:t>递交投标文件截止之日起90天。</w:t>
            </w:r>
          </w:p>
        </w:tc>
      </w:tr>
      <w:tr w14:paraId="10076A3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465" w:type="dxa"/>
            <w:tcBorders>
              <w:bottom w:val="single" w:color="auto" w:sz="4" w:space="0"/>
            </w:tcBorders>
            <w:shd w:val="clear" w:color="auto" w:fill="auto"/>
            <w:noWrap/>
            <w:vAlign w:val="center"/>
          </w:tcPr>
          <w:p w14:paraId="5740874C">
            <w:pPr>
              <w:keepLines w:val="0"/>
              <w:pageBreakBefore w:val="0"/>
              <w:kinsoku/>
              <w:overflowPunct/>
              <w:bidi w:val="0"/>
              <w:spacing w:line="360" w:lineRule="auto"/>
              <w:jc w:val="center"/>
              <w:outlineLvl w:val="5"/>
              <w:rPr>
                <w:rFonts w:hint="default" w:ascii="Times New Roman" w:hAnsi="宋体" w:eastAsia="宋体" w:cs="宋体"/>
                <w:color w:val="auto"/>
                <w:sz w:val="24"/>
                <w:szCs w:val="24"/>
                <w:highlight w:val="none"/>
                <w:lang w:val="en-US" w:eastAsia="zh-CN" w:bidi="ar-SA"/>
              </w:rPr>
            </w:pPr>
            <w:r>
              <w:rPr>
                <w:rFonts w:hint="eastAsia" w:hAnsi="宋体" w:cs="宋体"/>
                <w:color w:val="auto"/>
                <w:highlight w:val="none"/>
                <w:lang w:val="en-US" w:eastAsia="zh-CN"/>
              </w:rPr>
              <w:t>17</w:t>
            </w:r>
          </w:p>
        </w:tc>
        <w:tc>
          <w:tcPr>
            <w:tcW w:w="1968" w:type="dxa"/>
            <w:tcBorders>
              <w:bottom w:val="single" w:color="auto" w:sz="4" w:space="0"/>
            </w:tcBorders>
            <w:noWrap/>
            <w:vAlign w:val="center"/>
          </w:tcPr>
          <w:p w14:paraId="61218115">
            <w:pPr>
              <w:keepLines w:val="0"/>
              <w:pageBreakBefore w:val="0"/>
              <w:kinsoku/>
              <w:overflowPunct/>
              <w:bidi w:val="0"/>
              <w:spacing w:line="360" w:lineRule="auto"/>
              <w:outlineLvl w:val="5"/>
              <w:rPr>
                <w:rFonts w:hAnsi="宋体" w:cs="宋体"/>
                <w:color w:val="auto"/>
                <w:highlight w:val="none"/>
                <w:lang w:val="zh-CN"/>
              </w:rPr>
            </w:pPr>
            <w:r>
              <w:rPr>
                <w:rFonts w:hint="eastAsia" w:hAnsi="宋体" w:cs="宋体"/>
                <w:color w:val="auto"/>
                <w:highlight w:val="none"/>
                <w:lang w:val="zh-CN"/>
              </w:rPr>
              <w:t>投标保证金</w:t>
            </w:r>
          </w:p>
        </w:tc>
        <w:tc>
          <w:tcPr>
            <w:tcW w:w="6966" w:type="dxa"/>
            <w:tcBorders>
              <w:bottom w:val="single" w:color="auto" w:sz="4" w:space="0"/>
            </w:tcBorders>
            <w:noWrap/>
            <w:vAlign w:val="center"/>
          </w:tcPr>
          <w:p w14:paraId="3BC4BED2">
            <w:pPr>
              <w:pStyle w:val="18"/>
              <w:keepLines w:val="0"/>
              <w:pageBreakBefore w:val="0"/>
              <w:kinsoku/>
              <w:overflowPunct/>
              <w:bidi w:val="0"/>
              <w:spacing w:line="360" w:lineRule="auto"/>
              <w:rPr>
                <w:color w:val="auto"/>
                <w:kern w:val="0"/>
                <w:sz w:val="24"/>
                <w:highlight w:val="none"/>
              </w:rPr>
            </w:pPr>
            <w:r>
              <w:rPr>
                <w:rFonts w:hint="eastAsia"/>
                <w:color w:val="auto"/>
                <w:kern w:val="0"/>
                <w:sz w:val="24"/>
                <w:highlight w:val="none"/>
              </w:rPr>
              <w:t>本项目不收取投标保证金。</w:t>
            </w:r>
          </w:p>
        </w:tc>
      </w:tr>
      <w:tr w14:paraId="2906044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465" w:type="dxa"/>
            <w:tcBorders>
              <w:top w:val="single" w:color="auto" w:sz="4" w:space="0"/>
              <w:bottom w:val="single" w:color="auto" w:sz="4" w:space="0"/>
            </w:tcBorders>
            <w:shd w:val="clear" w:color="auto" w:fill="auto"/>
            <w:noWrap/>
            <w:vAlign w:val="center"/>
          </w:tcPr>
          <w:p w14:paraId="2DA97C71">
            <w:pPr>
              <w:keepLines w:val="0"/>
              <w:pageBreakBefore w:val="0"/>
              <w:kinsoku/>
              <w:overflowPunct/>
              <w:bidi w:val="0"/>
              <w:spacing w:line="360" w:lineRule="auto"/>
              <w:jc w:val="center"/>
              <w:outlineLvl w:val="5"/>
              <w:rPr>
                <w:rFonts w:hint="default" w:ascii="Times New Roman" w:hAnsi="宋体" w:eastAsia="宋体" w:cs="宋体"/>
                <w:color w:val="auto"/>
                <w:sz w:val="24"/>
                <w:szCs w:val="24"/>
                <w:highlight w:val="none"/>
                <w:lang w:val="en-US" w:eastAsia="zh-CN" w:bidi="ar-SA"/>
              </w:rPr>
            </w:pPr>
            <w:r>
              <w:rPr>
                <w:rFonts w:hint="eastAsia" w:hAnsi="宋体" w:cs="宋体"/>
                <w:color w:val="auto"/>
                <w:highlight w:val="none"/>
                <w:lang w:val="en-US" w:eastAsia="zh-CN"/>
              </w:rPr>
              <w:t>18</w:t>
            </w:r>
          </w:p>
        </w:tc>
        <w:tc>
          <w:tcPr>
            <w:tcW w:w="1968" w:type="dxa"/>
            <w:tcBorders>
              <w:top w:val="single" w:color="auto" w:sz="4" w:space="0"/>
              <w:bottom w:val="single" w:color="auto" w:sz="4" w:space="0"/>
            </w:tcBorders>
            <w:noWrap/>
            <w:vAlign w:val="center"/>
          </w:tcPr>
          <w:p w14:paraId="4D80863B">
            <w:pPr>
              <w:pStyle w:val="99"/>
              <w:keepLines w:val="0"/>
              <w:pageBreakBefore w:val="0"/>
              <w:kinsoku/>
              <w:overflowPunct/>
              <w:bidi w:val="0"/>
              <w:spacing w:line="360" w:lineRule="auto"/>
              <w:rPr>
                <w:color w:val="auto"/>
                <w:highlight w:val="none"/>
                <w:lang w:val="zh-CN"/>
              </w:rPr>
            </w:pPr>
            <w:r>
              <w:rPr>
                <w:rFonts w:hint="eastAsia"/>
                <w:color w:val="auto"/>
                <w:highlight w:val="none"/>
                <w:lang w:val="zh-CN"/>
              </w:rPr>
              <w:t>履约保证金</w:t>
            </w:r>
          </w:p>
        </w:tc>
        <w:tc>
          <w:tcPr>
            <w:tcW w:w="6966" w:type="dxa"/>
            <w:tcBorders>
              <w:top w:val="single" w:color="auto" w:sz="4" w:space="0"/>
              <w:bottom w:val="single" w:color="auto" w:sz="4" w:space="0"/>
            </w:tcBorders>
            <w:noWrap/>
            <w:vAlign w:val="center"/>
          </w:tcPr>
          <w:p w14:paraId="5D3B942C">
            <w:pPr>
              <w:pStyle w:val="99"/>
              <w:keepLines w:val="0"/>
              <w:pageBreakBefore w:val="0"/>
              <w:kinsoku/>
              <w:overflowPunct/>
              <w:bidi w:val="0"/>
              <w:spacing w:line="360" w:lineRule="auto"/>
              <w:rPr>
                <w:rFonts w:hint="eastAsia"/>
                <w:color w:val="auto"/>
                <w:kern w:val="0"/>
                <w:sz w:val="24"/>
                <w:highlight w:val="none"/>
                <w:lang w:val="zh-CN" w:eastAsia="zh-CN"/>
              </w:rPr>
            </w:pPr>
            <w:r>
              <w:rPr>
                <w:rFonts w:hint="eastAsia"/>
                <w:color w:val="auto"/>
                <w:kern w:val="0"/>
                <w:sz w:val="24"/>
                <w:highlight w:val="none"/>
                <w:lang w:val="zh-CN" w:eastAsia="zh-CN"/>
              </w:rPr>
              <w:t>合同签订前收取本项目</w:t>
            </w:r>
            <w:r>
              <w:rPr>
                <w:rFonts w:hint="eastAsia"/>
                <w:color w:val="auto"/>
                <w:kern w:val="0"/>
                <w:sz w:val="24"/>
                <w:highlight w:val="none"/>
                <w:lang w:val="en-US" w:eastAsia="zh-CN"/>
              </w:rPr>
              <w:t>最高限价</w:t>
            </w:r>
            <w:r>
              <w:rPr>
                <w:rFonts w:hint="eastAsia"/>
                <w:color w:val="auto"/>
                <w:kern w:val="0"/>
                <w:sz w:val="24"/>
                <w:highlight w:val="none"/>
                <w:lang w:val="zh-CN" w:eastAsia="zh-CN"/>
              </w:rPr>
              <w:t>的3%作为履约保证金；</w:t>
            </w:r>
          </w:p>
          <w:p w14:paraId="57481BB0">
            <w:pPr>
              <w:pStyle w:val="99"/>
              <w:keepLines w:val="0"/>
              <w:pageBreakBefore w:val="0"/>
              <w:kinsoku/>
              <w:overflowPunct/>
              <w:bidi w:val="0"/>
              <w:spacing w:line="360" w:lineRule="auto"/>
              <w:rPr>
                <w:rFonts w:hint="eastAsia"/>
                <w:color w:val="auto"/>
                <w:kern w:val="0"/>
                <w:sz w:val="24"/>
                <w:highlight w:val="none"/>
                <w:lang w:val="zh-CN" w:eastAsia="zh-CN"/>
              </w:rPr>
            </w:pPr>
            <w:r>
              <w:rPr>
                <w:rFonts w:hint="eastAsia"/>
                <w:color w:val="auto"/>
                <w:kern w:val="0"/>
                <w:sz w:val="24"/>
                <w:highlight w:val="none"/>
                <w:lang w:val="zh-CN" w:eastAsia="zh-CN"/>
              </w:rPr>
              <w:t>交款方式：履约保证金可以以支票、汇票、本票或者金融机构出具的保函等非现金形式提交（包括网银转账，电汇等方式）。</w:t>
            </w:r>
          </w:p>
          <w:p w14:paraId="6799FCF5">
            <w:pPr>
              <w:pStyle w:val="99"/>
              <w:keepLines w:val="0"/>
              <w:pageBreakBefore w:val="0"/>
              <w:kinsoku/>
              <w:overflowPunct/>
              <w:bidi w:val="0"/>
              <w:spacing w:line="360" w:lineRule="auto"/>
              <w:rPr>
                <w:rFonts w:hint="eastAsia"/>
                <w:color w:val="auto"/>
                <w:kern w:val="0"/>
                <w:sz w:val="24"/>
                <w:highlight w:val="none"/>
                <w:lang w:val="zh-CN" w:eastAsia="zh-CN"/>
              </w:rPr>
            </w:pPr>
            <w:r>
              <w:rPr>
                <w:rFonts w:hint="eastAsia"/>
                <w:color w:val="auto"/>
                <w:kern w:val="0"/>
                <w:sz w:val="24"/>
                <w:highlight w:val="none"/>
                <w:lang w:val="zh-CN" w:eastAsia="zh-CN"/>
              </w:rPr>
              <w:t>交款时间：中标通知书发放后，政府采购合同签订前。</w:t>
            </w:r>
          </w:p>
          <w:p w14:paraId="65AE4A3E">
            <w:pPr>
              <w:pStyle w:val="99"/>
              <w:keepLines w:val="0"/>
              <w:pageBreakBefore w:val="0"/>
              <w:kinsoku/>
              <w:overflowPunct/>
              <w:bidi w:val="0"/>
              <w:spacing w:line="360" w:lineRule="auto"/>
              <w:rPr>
                <w:rFonts w:hint="eastAsia"/>
                <w:color w:val="auto"/>
                <w:kern w:val="0"/>
                <w:sz w:val="24"/>
                <w:highlight w:val="none"/>
                <w:lang w:val="zh-CN" w:eastAsia="zh-CN"/>
              </w:rPr>
            </w:pPr>
            <w:r>
              <w:rPr>
                <w:rFonts w:hint="eastAsia"/>
                <w:color w:val="auto"/>
                <w:kern w:val="0"/>
                <w:sz w:val="24"/>
                <w:highlight w:val="none"/>
                <w:lang w:val="zh-CN" w:eastAsia="zh-CN"/>
              </w:rPr>
              <w:t>注：提供保函的担保机构必须是依法成立的具有相关资质和偿付能力的担保机构。保函是银行等金融机构出具的，否则采购人将重新确定中标人，并依法追究法律责任。</w:t>
            </w:r>
          </w:p>
          <w:p w14:paraId="5D9CA14B">
            <w:pPr>
              <w:pStyle w:val="99"/>
              <w:keepLines w:val="0"/>
              <w:pageBreakBefore w:val="0"/>
              <w:kinsoku/>
              <w:overflowPunct/>
              <w:bidi w:val="0"/>
              <w:spacing w:line="360" w:lineRule="auto"/>
              <w:rPr>
                <w:rFonts w:hint="eastAsia"/>
                <w:color w:val="auto"/>
                <w:kern w:val="0"/>
                <w:sz w:val="24"/>
                <w:highlight w:val="none"/>
                <w:lang w:val="zh-CN" w:eastAsia="zh-CN"/>
              </w:rPr>
            </w:pPr>
            <w:r>
              <w:rPr>
                <w:rFonts w:hint="eastAsia"/>
                <w:color w:val="auto"/>
                <w:kern w:val="0"/>
                <w:sz w:val="24"/>
                <w:highlight w:val="none"/>
                <w:lang w:val="zh-CN" w:eastAsia="zh-CN"/>
              </w:rPr>
              <w:t>履约保证金退还方式：验收结果合格的，中标人凭“验收结果”办理履约保证金的退付手续。</w:t>
            </w:r>
          </w:p>
          <w:p w14:paraId="28EF22CF">
            <w:pPr>
              <w:pStyle w:val="99"/>
              <w:keepLines w:val="0"/>
              <w:pageBreakBefore w:val="0"/>
              <w:kinsoku/>
              <w:overflowPunct/>
              <w:bidi w:val="0"/>
              <w:spacing w:line="360" w:lineRule="auto"/>
              <w:rPr>
                <w:rFonts w:hint="eastAsia"/>
                <w:color w:val="auto"/>
                <w:kern w:val="0"/>
                <w:sz w:val="24"/>
                <w:highlight w:val="none"/>
                <w:lang w:val="zh-CN" w:eastAsia="zh-CN"/>
              </w:rPr>
            </w:pPr>
            <w:r>
              <w:rPr>
                <w:rFonts w:hint="eastAsia"/>
                <w:color w:val="auto"/>
                <w:kern w:val="0"/>
                <w:sz w:val="24"/>
                <w:highlight w:val="none"/>
                <w:lang w:val="zh-CN" w:eastAsia="zh-CN"/>
              </w:rPr>
              <w:t>履约保证金退还时间：供应商提交履约保证金退还申请，采购人在收到履约保证金退还申请的7个工作日内退还。</w:t>
            </w:r>
          </w:p>
          <w:p w14:paraId="4E8F3D77">
            <w:pPr>
              <w:pStyle w:val="99"/>
              <w:keepLines w:val="0"/>
              <w:pageBreakBefore w:val="0"/>
              <w:kinsoku/>
              <w:overflowPunct/>
              <w:bidi w:val="0"/>
              <w:spacing w:line="360" w:lineRule="auto"/>
              <w:rPr>
                <w:rFonts w:hint="eastAsia"/>
                <w:color w:val="auto"/>
                <w:kern w:val="0"/>
                <w:sz w:val="24"/>
                <w:highlight w:val="none"/>
                <w:lang w:val="zh-CN" w:eastAsia="zh-CN"/>
              </w:rPr>
            </w:pPr>
            <w:r>
              <w:rPr>
                <w:rFonts w:hint="eastAsia"/>
                <w:color w:val="auto"/>
                <w:kern w:val="0"/>
                <w:sz w:val="24"/>
                <w:highlight w:val="none"/>
                <w:lang w:val="zh-CN" w:eastAsia="zh-CN"/>
              </w:rPr>
              <w:t>履约保证金不予退还情形：</w:t>
            </w:r>
            <w:r>
              <w:rPr>
                <w:rFonts w:hint="eastAsia"/>
                <w:color w:val="auto"/>
                <w:kern w:val="0"/>
                <w:sz w:val="24"/>
                <w:highlight w:val="none"/>
              </w:rPr>
              <w:t>经甲方验收，乙方的服务成果未达到合同约定的标准、规格或质量要求，且乙方未在限期内有效整改</w:t>
            </w:r>
            <w:r>
              <w:rPr>
                <w:rFonts w:hint="eastAsia"/>
                <w:color w:val="auto"/>
                <w:kern w:val="0"/>
                <w:sz w:val="24"/>
                <w:highlight w:val="none"/>
                <w:lang w:val="zh-CN" w:eastAsia="zh-CN"/>
              </w:rPr>
              <w:t>，履约保证金将不予退还，并退还采购人已支付的采购资金，还可能会报本项目同级财政部门按照政府采购法律法规及《四川省公共资源交易领域严重失信联合惩戒实施办法》（川发改信用规〔2019〕405号）、《关于对政府采购领域严重违法失信主体开展联合惩戒的合作备忘录》（发改财金〔2018〕1614号）等有关规定给予行政处罚或者以失信行为记入诚信档案。</w:t>
            </w:r>
          </w:p>
          <w:p w14:paraId="36210F39">
            <w:pPr>
              <w:pStyle w:val="99"/>
              <w:keepLines w:val="0"/>
              <w:pageBreakBefore w:val="0"/>
              <w:kinsoku/>
              <w:overflowPunct/>
              <w:bidi w:val="0"/>
              <w:spacing w:line="360" w:lineRule="auto"/>
              <w:rPr>
                <w:rFonts w:hint="default" w:eastAsia="宋体"/>
                <w:color w:val="auto"/>
                <w:highlight w:val="none"/>
                <w:lang w:val="en-US" w:eastAsia="zh-CN"/>
              </w:rPr>
            </w:pPr>
            <w:r>
              <w:rPr>
                <w:rFonts w:hint="eastAsia"/>
                <w:color w:val="auto"/>
                <w:kern w:val="0"/>
                <w:sz w:val="24"/>
                <w:highlight w:val="none"/>
                <w:lang w:val="zh-CN" w:eastAsia="zh-CN"/>
              </w:rPr>
              <w:t>履约保证金不予退还的，将按照有关规定上缴国库。逾期退还履约保证金的，将依法承担法律责任，并赔偿供应商损失。</w:t>
            </w:r>
          </w:p>
        </w:tc>
      </w:tr>
      <w:tr w14:paraId="5BA6A86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465" w:type="dxa"/>
            <w:tcBorders>
              <w:top w:val="single" w:color="auto" w:sz="4" w:space="0"/>
              <w:bottom w:val="single" w:color="auto" w:sz="4" w:space="0"/>
            </w:tcBorders>
            <w:shd w:val="clear" w:color="auto" w:fill="auto"/>
            <w:noWrap/>
            <w:vAlign w:val="center"/>
          </w:tcPr>
          <w:p w14:paraId="397E1A69">
            <w:pPr>
              <w:keepLines w:val="0"/>
              <w:pageBreakBefore w:val="0"/>
              <w:kinsoku/>
              <w:overflowPunct/>
              <w:bidi w:val="0"/>
              <w:spacing w:line="360" w:lineRule="auto"/>
              <w:jc w:val="center"/>
              <w:outlineLvl w:val="5"/>
              <w:rPr>
                <w:rFonts w:hint="default" w:ascii="Times New Roman" w:hAnsi="宋体" w:eastAsia="宋体" w:cs="宋体"/>
                <w:color w:val="auto"/>
                <w:sz w:val="24"/>
                <w:szCs w:val="24"/>
                <w:highlight w:val="none"/>
                <w:lang w:val="en-US" w:eastAsia="zh-CN" w:bidi="ar-SA"/>
              </w:rPr>
            </w:pPr>
            <w:r>
              <w:rPr>
                <w:rFonts w:hint="eastAsia" w:hAnsi="宋体" w:cs="宋体"/>
                <w:color w:val="auto"/>
                <w:highlight w:val="none"/>
                <w:lang w:val="en-US" w:eastAsia="zh-CN"/>
              </w:rPr>
              <w:t>19</w:t>
            </w:r>
          </w:p>
        </w:tc>
        <w:tc>
          <w:tcPr>
            <w:tcW w:w="1968" w:type="dxa"/>
            <w:tcBorders>
              <w:top w:val="single" w:color="auto" w:sz="4" w:space="0"/>
              <w:bottom w:val="single" w:color="auto" w:sz="4" w:space="0"/>
            </w:tcBorders>
            <w:noWrap/>
            <w:vAlign w:val="center"/>
          </w:tcPr>
          <w:p w14:paraId="17FA14B4">
            <w:pPr>
              <w:pStyle w:val="99"/>
              <w:keepLines w:val="0"/>
              <w:pageBreakBefore w:val="0"/>
              <w:kinsoku/>
              <w:overflowPunct/>
              <w:bidi w:val="0"/>
              <w:spacing w:line="360" w:lineRule="auto"/>
              <w:rPr>
                <w:rFonts w:cs="Times New Roman"/>
                <w:color w:val="auto"/>
                <w:kern w:val="2"/>
                <w:highlight w:val="none"/>
              </w:rPr>
            </w:pPr>
            <w:r>
              <w:rPr>
                <w:rFonts w:hint="eastAsia" w:cs="Times New Roman"/>
                <w:color w:val="auto"/>
                <w:kern w:val="2"/>
                <w:highlight w:val="none"/>
              </w:rPr>
              <w:t>招标文件、开评标工作咨询</w:t>
            </w:r>
          </w:p>
        </w:tc>
        <w:tc>
          <w:tcPr>
            <w:tcW w:w="6966" w:type="dxa"/>
            <w:tcBorders>
              <w:top w:val="single" w:color="auto" w:sz="4" w:space="0"/>
              <w:bottom w:val="single" w:color="auto" w:sz="4" w:space="0"/>
            </w:tcBorders>
            <w:noWrap/>
          </w:tcPr>
          <w:p w14:paraId="20ED4E6F">
            <w:pPr>
              <w:pStyle w:val="537"/>
              <w:snapToGrid w:val="0"/>
              <w:spacing w:line="360" w:lineRule="auto"/>
              <w:jc w:val="left"/>
              <w:rPr>
                <w:rFonts w:hint="eastAsia" w:eastAsia="宋体" w:cs="宋体"/>
                <w:bCs/>
                <w:color w:val="auto"/>
                <w:kern w:val="2"/>
                <w:sz w:val="24"/>
                <w:szCs w:val="24"/>
                <w:highlight w:val="none"/>
                <w:lang w:eastAsia="zh-CN"/>
              </w:rPr>
            </w:pPr>
            <w:r>
              <w:rPr>
                <w:rFonts w:hint="eastAsia" w:eastAsia="宋体" w:cs="宋体"/>
                <w:bCs/>
                <w:color w:val="auto"/>
                <w:kern w:val="2"/>
                <w:sz w:val="24"/>
                <w:szCs w:val="24"/>
                <w:highlight w:val="none"/>
                <w:lang w:eastAsia="zh-CN"/>
              </w:rPr>
              <w:t>联 系 人：胡先生</w:t>
            </w:r>
          </w:p>
          <w:p w14:paraId="01B07B54">
            <w:pPr>
              <w:keepLines w:val="0"/>
              <w:pageBreakBefore w:val="0"/>
              <w:kinsoku/>
              <w:overflowPunct/>
              <w:bidi w:val="0"/>
              <w:spacing w:line="360" w:lineRule="auto"/>
              <w:ind w:right="120" w:rightChars="50"/>
              <w:rPr>
                <w:rFonts w:hAnsi="宋体"/>
                <w:color w:val="auto"/>
                <w:highlight w:val="none"/>
              </w:rPr>
            </w:pPr>
            <w:r>
              <w:rPr>
                <w:rFonts w:hint="eastAsia" w:eastAsia="宋体" w:cs="宋体"/>
                <w:bCs/>
                <w:color w:val="auto"/>
                <w:kern w:val="2"/>
                <w:sz w:val="24"/>
                <w:szCs w:val="24"/>
                <w:highlight w:val="none"/>
                <w:lang w:eastAsia="zh-CN"/>
              </w:rPr>
              <w:t>联系电话：18989237803</w:t>
            </w:r>
          </w:p>
        </w:tc>
      </w:tr>
      <w:tr w14:paraId="6211F26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465" w:type="dxa"/>
            <w:tcBorders>
              <w:top w:val="single" w:color="auto" w:sz="4" w:space="0"/>
              <w:bottom w:val="single" w:color="auto" w:sz="4" w:space="0"/>
            </w:tcBorders>
            <w:shd w:val="clear" w:color="auto" w:fill="auto"/>
            <w:noWrap/>
            <w:vAlign w:val="center"/>
          </w:tcPr>
          <w:p w14:paraId="74A9EA00">
            <w:pPr>
              <w:keepLines w:val="0"/>
              <w:pageBreakBefore w:val="0"/>
              <w:kinsoku/>
              <w:overflowPunct/>
              <w:bidi w:val="0"/>
              <w:spacing w:line="360" w:lineRule="auto"/>
              <w:jc w:val="center"/>
              <w:outlineLvl w:val="5"/>
              <w:rPr>
                <w:rFonts w:hint="default" w:ascii="Times New Roman" w:hAnsi="宋体" w:eastAsia="宋体" w:cs="宋体"/>
                <w:color w:val="auto"/>
                <w:sz w:val="24"/>
                <w:szCs w:val="24"/>
                <w:highlight w:val="none"/>
                <w:lang w:val="en-US" w:eastAsia="zh-CN" w:bidi="ar-SA"/>
              </w:rPr>
            </w:pPr>
            <w:r>
              <w:rPr>
                <w:rFonts w:hAnsi="宋体" w:cs="宋体"/>
                <w:color w:val="auto"/>
                <w:highlight w:val="none"/>
                <w:lang w:val="zh-CN"/>
              </w:rPr>
              <w:t>2</w:t>
            </w:r>
            <w:r>
              <w:rPr>
                <w:rFonts w:hint="eastAsia" w:hAnsi="宋体" w:cs="宋体"/>
                <w:color w:val="auto"/>
                <w:highlight w:val="none"/>
                <w:lang w:val="en-US" w:eastAsia="zh-CN"/>
              </w:rPr>
              <w:t>0</w:t>
            </w:r>
          </w:p>
        </w:tc>
        <w:tc>
          <w:tcPr>
            <w:tcW w:w="1968" w:type="dxa"/>
            <w:tcBorders>
              <w:top w:val="single" w:color="auto" w:sz="4" w:space="0"/>
              <w:bottom w:val="single" w:color="auto" w:sz="4" w:space="0"/>
            </w:tcBorders>
            <w:noWrap/>
            <w:vAlign w:val="center"/>
          </w:tcPr>
          <w:p w14:paraId="3CA25F96">
            <w:pPr>
              <w:keepLines w:val="0"/>
              <w:pageBreakBefore w:val="0"/>
              <w:kinsoku/>
              <w:overflowPunct/>
              <w:bidi w:val="0"/>
              <w:spacing w:line="360" w:lineRule="auto"/>
              <w:ind w:right="120" w:rightChars="50"/>
              <w:rPr>
                <w:rFonts w:hAnsi="宋体"/>
                <w:color w:val="auto"/>
                <w:highlight w:val="none"/>
              </w:rPr>
            </w:pPr>
            <w:r>
              <w:rPr>
                <w:rFonts w:hint="eastAsia" w:hAnsi="宋体"/>
                <w:color w:val="auto"/>
                <w:highlight w:val="none"/>
              </w:rPr>
              <w:t>中标通知书领取</w:t>
            </w:r>
          </w:p>
        </w:tc>
        <w:tc>
          <w:tcPr>
            <w:tcW w:w="6966" w:type="dxa"/>
            <w:tcBorders>
              <w:top w:val="single" w:color="auto" w:sz="4" w:space="0"/>
              <w:bottom w:val="single" w:color="auto" w:sz="4" w:space="0"/>
            </w:tcBorders>
            <w:noWrap/>
            <w:vAlign w:val="center"/>
          </w:tcPr>
          <w:p w14:paraId="2E67E40F">
            <w:pPr>
              <w:keepLines w:val="0"/>
              <w:pageBreakBefore w:val="0"/>
              <w:tabs>
                <w:tab w:val="left" w:pos="7665"/>
              </w:tabs>
              <w:kinsoku/>
              <w:overflowPunct/>
              <w:bidi w:val="0"/>
              <w:spacing w:line="360" w:lineRule="auto"/>
              <w:rPr>
                <w:rFonts w:hAnsi="宋体"/>
                <w:b/>
                <w:i/>
                <w:color w:val="auto"/>
                <w:highlight w:val="none"/>
              </w:rPr>
            </w:pPr>
            <w:r>
              <w:rPr>
                <w:rFonts w:hint="eastAsia" w:hAnsi="宋体"/>
                <w:color w:val="auto"/>
                <w:highlight w:val="none"/>
              </w:rPr>
              <w:t>中标公告在“</w:t>
            </w:r>
            <w:r>
              <w:rPr>
                <w:rFonts w:hint="eastAsia" w:hAnsi="宋体"/>
                <w:color w:val="auto"/>
                <w:highlight w:val="none"/>
                <w:lang w:eastAsia="zh-CN"/>
              </w:rPr>
              <w:t>中国政府采购网</w:t>
            </w:r>
            <w:r>
              <w:rPr>
                <w:rFonts w:hint="eastAsia" w:hAnsi="宋体"/>
                <w:color w:val="auto"/>
                <w:highlight w:val="none"/>
              </w:rPr>
              <w:t>”上公告后，中标人凭有效身份证明证件（单位介绍信和个人身份证）到采购代理机构处领取中标通知书。</w:t>
            </w:r>
          </w:p>
          <w:p w14:paraId="5520DAAB">
            <w:pPr>
              <w:pStyle w:val="537"/>
              <w:snapToGrid w:val="0"/>
              <w:spacing w:line="360" w:lineRule="auto"/>
              <w:jc w:val="left"/>
              <w:rPr>
                <w:rFonts w:hint="eastAsia" w:eastAsia="宋体" w:cs="宋体"/>
                <w:bCs/>
                <w:color w:val="auto"/>
                <w:kern w:val="2"/>
                <w:sz w:val="24"/>
                <w:szCs w:val="24"/>
                <w:highlight w:val="none"/>
                <w:lang w:eastAsia="zh-CN"/>
              </w:rPr>
            </w:pPr>
            <w:r>
              <w:rPr>
                <w:rFonts w:hint="eastAsia" w:eastAsia="宋体" w:cs="宋体"/>
                <w:bCs/>
                <w:color w:val="auto"/>
                <w:kern w:val="2"/>
                <w:sz w:val="24"/>
                <w:szCs w:val="24"/>
                <w:highlight w:val="none"/>
                <w:lang w:eastAsia="zh-CN"/>
              </w:rPr>
              <w:t>联 系 人：胡先生</w:t>
            </w:r>
          </w:p>
          <w:p w14:paraId="1C485666">
            <w:pPr>
              <w:keepLines w:val="0"/>
              <w:pageBreakBefore w:val="0"/>
              <w:kinsoku/>
              <w:overflowPunct/>
              <w:bidi w:val="0"/>
              <w:spacing w:line="360" w:lineRule="auto"/>
              <w:rPr>
                <w:rFonts w:hAnsi="宋体"/>
                <w:color w:val="auto"/>
                <w:highlight w:val="none"/>
                <w:lang w:val="zh-CN"/>
              </w:rPr>
            </w:pPr>
            <w:r>
              <w:rPr>
                <w:rFonts w:hint="eastAsia" w:eastAsia="宋体" w:cs="宋体"/>
                <w:bCs/>
                <w:color w:val="auto"/>
                <w:kern w:val="2"/>
                <w:sz w:val="24"/>
                <w:szCs w:val="24"/>
                <w:highlight w:val="none"/>
                <w:lang w:eastAsia="zh-CN"/>
              </w:rPr>
              <w:t>联系电话：18989237803</w:t>
            </w:r>
          </w:p>
        </w:tc>
      </w:tr>
      <w:tr w14:paraId="584AE0BC">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465" w:type="dxa"/>
            <w:tcBorders>
              <w:top w:val="single" w:color="auto" w:sz="4" w:space="0"/>
              <w:bottom w:val="single" w:color="auto" w:sz="4" w:space="0"/>
            </w:tcBorders>
            <w:shd w:val="clear" w:color="auto" w:fill="auto"/>
            <w:noWrap/>
            <w:vAlign w:val="center"/>
          </w:tcPr>
          <w:p w14:paraId="7A447AEA">
            <w:pPr>
              <w:keepLines w:val="0"/>
              <w:pageBreakBefore w:val="0"/>
              <w:kinsoku/>
              <w:overflowPunct/>
              <w:bidi w:val="0"/>
              <w:spacing w:line="360" w:lineRule="auto"/>
              <w:jc w:val="center"/>
              <w:outlineLvl w:val="5"/>
              <w:rPr>
                <w:rFonts w:hint="eastAsia" w:ascii="Times New Roman" w:hAnsi="宋体" w:eastAsia="宋体" w:cs="宋体"/>
                <w:color w:val="auto"/>
                <w:sz w:val="24"/>
                <w:szCs w:val="24"/>
                <w:highlight w:val="none"/>
                <w:lang w:val="zh-CN" w:eastAsia="zh-CN" w:bidi="ar-SA"/>
              </w:rPr>
            </w:pPr>
            <w:r>
              <w:rPr>
                <w:rFonts w:hAnsi="宋体" w:cs="宋体"/>
                <w:color w:val="auto"/>
                <w:highlight w:val="none"/>
                <w:lang w:val="zh-CN"/>
              </w:rPr>
              <w:t>2</w:t>
            </w:r>
            <w:r>
              <w:rPr>
                <w:rFonts w:hint="eastAsia" w:hAnsi="宋体" w:cs="宋体"/>
                <w:color w:val="auto"/>
                <w:highlight w:val="none"/>
                <w:lang w:val="en-US" w:eastAsia="zh-CN"/>
              </w:rPr>
              <w:t>1</w:t>
            </w:r>
          </w:p>
        </w:tc>
        <w:tc>
          <w:tcPr>
            <w:tcW w:w="1968" w:type="dxa"/>
            <w:tcBorders>
              <w:top w:val="single" w:color="auto" w:sz="4" w:space="0"/>
              <w:bottom w:val="single" w:color="auto" w:sz="4" w:space="0"/>
            </w:tcBorders>
            <w:noWrap/>
            <w:vAlign w:val="center"/>
          </w:tcPr>
          <w:p w14:paraId="0A530A4D">
            <w:pPr>
              <w:pStyle w:val="99"/>
              <w:keepLines w:val="0"/>
              <w:pageBreakBefore w:val="0"/>
              <w:kinsoku/>
              <w:overflowPunct/>
              <w:bidi w:val="0"/>
              <w:spacing w:line="360" w:lineRule="auto"/>
              <w:rPr>
                <w:rFonts w:cs="Times New Roman"/>
                <w:color w:val="auto"/>
                <w:kern w:val="2"/>
                <w:highlight w:val="none"/>
              </w:rPr>
            </w:pPr>
            <w:r>
              <w:rPr>
                <w:rFonts w:hint="eastAsia" w:cs="Times New Roman"/>
                <w:color w:val="auto"/>
                <w:kern w:val="2"/>
                <w:highlight w:val="none"/>
              </w:rPr>
              <w:t>供应商询问、质疑</w:t>
            </w:r>
          </w:p>
        </w:tc>
        <w:tc>
          <w:tcPr>
            <w:tcW w:w="6966" w:type="dxa"/>
            <w:tcBorders>
              <w:top w:val="single" w:color="auto" w:sz="4" w:space="0"/>
              <w:bottom w:val="single" w:color="auto" w:sz="4" w:space="0"/>
            </w:tcBorders>
            <w:noWrap/>
          </w:tcPr>
          <w:p w14:paraId="18D19D09">
            <w:pPr>
              <w:keepLines w:val="0"/>
              <w:pageBreakBefore w:val="0"/>
              <w:kinsoku/>
              <w:overflowPunct/>
              <w:bidi w:val="0"/>
              <w:spacing w:line="360" w:lineRule="auto"/>
              <w:rPr>
                <w:color w:val="auto"/>
                <w:highlight w:val="none"/>
                <w:lang w:val="zh-CN"/>
              </w:rPr>
            </w:pPr>
            <w:r>
              <w:rPr>
                <w:rFonts w:hint="eastAsia"/>
                <w:color w:val="auto"/>
                <w:highlight w:val="none"/>
              </w:rPr>
              <w:t>供应商询问、质疑由</w:t>
            </w:r>
            <w:r>
              <w:rPr>
                <w:rFonts w:hint="eastAsia"/>
                <w:color w:val="auto"/>
                <w:highlight w:val="none"/>
                <w:lang w:eastAsia="zh-CN"/>
              </w:rPr>
              <w:t>四川五邑招标代理有限公司</w:t>
            </w:r>
            <w:r>
              <w:rPr>
                <w:rFonts w:hint="eastAsia"/>
                <w:color w:val="auto"/>
                <w:highlight w:val="none"/>
                <w:lang w:val="zh-CN"/>
              </w:rPr>
              <w:t>负责答复。</w:t>
            </w:r>
          </w:p>
          <w:p w14:paraId="5D642A67">
            <w:pPr>
              <w:pStyle w:val="537"/>
              <w:snapToGrid w:val="0"/>
              <w:spacing w:line="360" w:lineRule="auto"/>
              <w:jc w:val="left"/>
              <w:rPr>
                <w:rFonts w:hint="eastAsia" w:eastAsia="宋体" w:cs="宋体"/>
                <w:bCs/>
                <w:color w:val="auto"/>
                <w:kern w:val="2"/>
                <w:sz w:val="24"/>
                <w:szCs w:val="24"/>
                <w:highlight w:val="none"/>
                <w:lang w:eastAsia="zh-CN"/>
              </w:rPr>
            </w:pPr>
            <w:r>
              <w:rPr>
                <w:rFonts w:hint="eastAsia" w:eastAsia="宋体" w:cs="宋体"/>
                <w:bCs/>
                <w:color w:val="auto"/>
                <w:kern w:val="2"/>
                <w:sz w:val="24"/>
                <w:szCs w:val="24"/>
                <w:highlight w:val="none"/>
                <w:lang w:eastAsia="zh-CN"/>
              </w:rPr>
              <w:t>联 系 人：胡先生</w:t>
            </w:r>
          </w:p>
          <w:p w14:paraId="5B7AF47E">
            <w:pPr>
              <w:keepLines w:val="0"/>
              <w:pageBreakBefore w:val="0"/>
              <w:kinsoku/>
              <w:overflowPunct/>
              <w:bidi w:val="0"/>
              <w:spacing w:line="360" w:lineRule="auto"/>
              <w:rPr>
                <w:rFonts w:hint="eastAsia" w:eastAsia="宋体"/>
                <w:color w:val="auto"/>
                <w:highlight w:val="none"/>
                <w:lang w:eastAsia="zh-CN"/>
              </w:rPr>
            </w:pPr>
            <w:r>
              <w:rPr>
                <w:rFonts w:hint="eastAsia" w:eastAsia="宋体" w:cs="宋体"/>
                <w:bCs/>
                <w:color w:val="auto"/>
                <w:kern w:val="2"/>
                <w:sz w:val="24"/>
                <w:szCs w:val="24"/>
                <w:highlight w:val="none"/>
                <w:lang w:eastAsia="zh-CN"/>
              </w:rPr>
              <w:t>联系电话：18989237803</w:t>
            </w:r>
          </w:p>
        </w:tc>
      </w:tr>
      <w:tr w14:paraId="6DC255E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465" w:type="dxa"/>
            <w:tcBorders>
              <w:top w:val="single" w:color="auto" w:sz="4" w:space="0"/>
              <w:bottom w:val="single" w:color="auto" w:sz="4" w:space="0"/>
            </w:tcBorders>
            <w:shd w:val="clear" w:color="auto" w:fill="auto"/>
            <w:noWrap/>
            <w:vAlign w:val="center"/>
          </w:tcPr>
          <w:p w14:paraId="7E6A1E08">
            <w:pPr>
              <w:keepLines w:val="0"/>
              <w:pageBreakBefore w:val="0"/>
              <w:kinsoku/>
              <w:overflowPunct/>
              <w:bidi w:val="0"/>
              <w:spacing w:line="360" w:lineRule="auto"/>
              <w:jc w:val="center"/>
              <w:outlineLvl w:val="5"/>
              <w:rPr>
                <w:rFonts w:hint="eastAsia" w:ascii="Times New Roman" w:hAnsi="宋体" w:eastAsia="宋体" w:cs="宋体"/>
                <w:color w:val="auto"/>
                <w:sz w:val="24"/>
                <w:szCs w:val="24"/>
                <w:highlight w:val="none"/>
                <w:lang w:val="zh-CN" w:eastAsia="zh-CN" w:bidi="ar-SA"/>
              </w:rPr>
            </w:pPr>
            <w:r>
              <w:rPr>
                <w:rFonts w:hAnsi="宋体" w:cs="宋体"/>
                <w:color w:val="auto"/>
                <w:highlight w:val="none"/>
                <w:lang w:val="zh-CN"/>
              </w:rPr>
              <w:t>2</w:t>
            </w:r>
            <w:r>
              <w:rPr>
                <w:rFonts w:hint="eastAsia" w:hAnsi="宋体" w:cs="宋体"/>
                <w:color w:val="auto"/>
                <w:highlight w:val="none"/>
                <w:lang w:val="en-US" w:eastAsia="zh-CN"/>
              </w:rPr>
              <w:t>2</w:t>
            </w:r>
          </w:p>
        </w:tc>
        <w:tc>
          <w:tcPr>
            <w:tcW w:w="1968" w:type="dxa"/>
            <w:tcBorders>
              <w:top w:val="single" w:color="auto" w:sz="4" w:space="0"/>
              <w:bottom w:val="single" w:color="auto" w:sz="4" w:space="0"/>
            </w:tcBorders>
            <w:noWrap/>
            <w:vAlign w:val="center"/>
          </w:tcPr>
          <w:p w14:paraId="72EEEE50">
            <w:pPr>
              <w:pStyle w:val="99"/>
              <w:keepLines w:val="0"/>
              <w:pageBreakBefore w:val="0"/>
              <w:kinsoku/>
              <w:overflowPunct/>
              <w:bidi w:val="0"/>
              <w:spacing w:line="360" w:lineRule="auto"/>
              <w:rPr>
                <w:rFonts w:cs="Times New Roman"/>
                <w:color w:val="auto"/>
                <w:kern w:val="2"/>
                <w:highlight w:val="none"/>
              </w:rPr>
            </w:pPr>
            <w:r>
              <w:rPr>
                <w:rFonts w:hint="eastAsia" w:cs="Times New Roman"/>
                <w:color w:val="auto"/>
                <w:kern w:val="2"/>
                <w:highlight w:val="none"/>
              </w:rPr>
              <w:t>供应商投诉</w:t>
            </w:r>
          </w:p>
        </w:tc>
        <w:tc>
          <w:tcPr>
            <w:tcW w:w="6966" w:type="dxa"/>
            <w:tcBorders>
              <w:top w:val="single" w:color="auto" w:sz="4" w:space="0"/>
              <w:bottom w:val="single" w:color="auto" w:sz="4" w:space="0"/>
            </w:tcBorders>
            <w:noWrap/>
            <w:vAlign w:val="center"/>
          </w:tcPr>
          <w:p w14:paraId="7CC2FBE4">
            <w:pPr>
              <w:keepLines w:val="0"/>
              <w:pageBreakBefore w:val="0"/>
              <w:kinsoku/>
              <w:overflowPunct/>
              <w:bidi w:val="0"/>
              <w:spacing w:line="360" w:lineRule="auto"/>
              <w:ind w:right="120" w:rightChars="50"/>
              <w:rPr>
                <w:rFonts w:hint="eastAsia" w:ascii="Times New Roman" w:hAnsi="宋体" w:eastAsia="宋体" w:cs="Times New Roman"/>
                <w:color w:val="auto"/>
                <w:highlight w:val="none"/>
              </w:rPr>
            </w:pPr>
            <w:r>
              <w:rPr>
                <w:rFonts w:hint="eastAsia" w:hAnsi="宋体"/>
                <w:color w:val="auto"/>
                <w:highlight w:val="none"/>
              </w:rPr>
              <w:t>投诉</w:t>
            </w:r>
            <w:r>
              <w:rPr>
                <w:rFonts w:hint="eastAsia" w:ascii="Times New Roman" w:hAnsi="宋体" w:eastAsia="宋体" w:cs="Times New Roman"/>
                <w:color w:val="auto"/>
                <w:highlight w:val="none"/>
              </w:rPr>
              <w:t>受理单位：</w:t>
            </w:r>
            <w:r>
              <w:rPr>
                <w:rFonts w:hint="eastAsia" w:hAnsi="宋体" w:cs="Times New Roman"/>
                <w:color w:val="auto"/>
                <w:highlight w:val="none"/>
                <w:lang w:val="en-US" w:eastAsia="zh-CN"/>
              </w:rPr>
              <w:t>采购人纪委。</w:t>
            </w:r>
            <w:r>
              <w:rPr>
                <w:rFonts w:hint="eastAsia" w:ascii="Times New Roman" w:hAnsi="宋体" w:eastAsia="宋体" w:cs="Times New Roman"/>
                <w:color w:val="auto"/>
                <w:highlight w:val="none"/>
              </w:rPr>
              <w:t xml:space="preserve"> </w:t>
            </w:r>
          </w:p>
          <w:p w14:paraId="57952219">
            <w:pPr>
              <w:keepLines w:val="0"/>
              <w:pageBreakBefore w:val="0"/>
              <w:kinsoku/>
              <w:overflowPunct/>
              <w:bidi w:val="0"/>
              <w:spacing w:line="360" w:lineRule="auto"/>
              <w:ind w:right="120" w:rightChars="50"/>
              <w:rPr>
                <w:rFonts w:hAnsi="宋体"/>
                <w:color w:val="auto"/>
                <w:highlight w:val="none"/>
              </w:rPr>
            </w:pPr>
            <w:r>
              <w:rPr>
                <w:rFonts w:hint="eastAsia" w:ascii="Times New Roman" w:hAnsi="宋体" w:eastAsia="宋体" w:cs="Times New Roman"/>
                <w:color w:val="auto"/>
                <w:highlight w:val="none"/>
              </w:rPr>
              <w:t>注：</w:t>
            </w:r>
            <w:r>
              <w:rPr>
                <w:rFonts w:hint="eastAsia" w:hAnsi="宋体" w:cs="Times New Roman"/>
                <w:color w:val="auto"/>
                <w:highlight w:val="none"/>
                <w:lang w:val="en-US" w:eastAsia="zh-CN"/>
              </w:rPr>
              <w:t>参照</w:t>
            </w:r>
            <w:r>
              <w:rPr>
                <w:rFonts w:hint="eastAsia" w:ascii="Times New Roman" w:hAnsi="宋体" w:eastAsia="宋体" w:cs="Times New Roman"/>
                <w:color w:val="auto"/>
                <w:highlight w:val="none"/>
              </w:rPr>
              <w:t>《中华人</w:t>
            </w:r>
            <w:r>
              <w:rPr>
                <w:rFonts w:hint="eastAsia" w:hAnsi="宋体"/>
                <w:color w:val="auto"/>
                <w:highlight w:val="none"/>
              </w:rPr>
              <w:t>民共和国政府采购法实施条例》及中华人民共和国财政部令第94号《政府采购质疑和投诉办法》规定执行的规定，供应商投诉事项不得超出已质疑事项的范围。</w:t>
            </w:r>
          </w:p>
        </w:tc>
      </w:tr>
      <w:tr w14:paraId="0D62C12B">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53" w:hRule="atLeast"/>
        </w:trPr>
        <w:tc>
          <w:tcPr>
            <w:tcW w:w="465" w:type="dxa"/>
            <w:tcBorders>
              <w:bottom w:val="single" w:color="auto" w:sz="4" w:space="0"/>
            </w:tcBorders>
            <w:shd w:val="clear" w:color="auto" w:fill="auto"/>
            <w:noWrap/>
            <w:vAlign w:val="center"/>
          </w:tcPr>
          <w:p w14:paraId="7F1D4B0C">
            <w:pPr>
              <w:keepLines w:val="0"/>
              <w:pageBreakBefore w:val="0"/>
              <w:kinsoku/>
              <w:overflowPunct/>
              <w:bidi w:val="0"/>
              <w:spacing w:line="360" w:lineRule="auto"/>
              <w:jc w:val="center"/>
              <w:outlineLvl w:val="5"/>
              <w:rPr>
                <w:rFonts w:hint="default" w:ascii="Times New Roman" w:hAnsi="宋体" w:eastAsia="宋体" w:cs="宋体"/>
                <w:color w:val="auto"/>
                <w:sz w:val="24"/>
                <w:szCs w:val="24"/>
                <w:highlight w:val="none"/>
                <w:lang w:val="en-US" w:eastAsia="zh-CN" w:bidi="ar-SA"/>
              </w:rPr>
            </w:pPr>
            <w:r>
              <w:rPr>
                <w:rFonts w:hint="eastAsia" w:hAnsi="宋体" w:cs="宋体"/>
                <w:color w:val="auto"/>
                <w:highlight w:val="none"/>
                <w:lang w:val="en-US" w:eastAsia="zh-CN"/>
              </w:rPr>
              <w:t>23</w:t>
            </w:r>
          </w:p>
        </w:tc>
        <w:tc>
          <w:tcPr>
            <w:tcW w:w="1968" w:type="dxa"/>
            <w:tcBorders>
              <w:bottom w:val="single" w:color="auto" w:sz="4" w:space="0"/>
            </w:tcBorders>
            <w:noWrap/>
            <w:vAlign w:val="center"/>
          </w:tcPr>
          <w:p w14:paraId="464C6AFE">
            <w:pPr>
              <w:keepLines w:val="0"/>
              <w:pageBreakBefore w:val="0"/>
              <w:kinsoku/>
              <w:overflowPunct/>
              <w:bidi w:val="0"/>
              <w:spacing w:line="360" w:lineRule="auto"/>
              <w:outlineLvl w:val="5"/>
              <w:rPr>
                <w:rFonts w:hAnsi="宋体" w:cs="宋体"/>
                <w:color w:val="auto"/>
                <w:highlight w:val="none"/>
                <w:lang w:val="zh-CN"/>
              </w:rPr>
            </w:pPr>
            <w:r>
              <w:rPr>
                <w:rFonts w:hint="eastAsia" w:hAnsi="宋体" w:cs="宋体"/>
                <w:color w:val="auto"/>
                <w:highlight w:val="none"/>
                <w:lang w:val="zh-CN"/>
              </w:rPr>
              <w:t>备选投标方案和报价</w:t>
            </w:r>
          </w:p>
        </w:tc>
        <w:tc>
          <w:tcPr>
            <w:tcW w:w="6966" w:type="dxa"/>
            <w:tcBorders>
              <w:bottom w:val="single" w:color="auto" w:sz="4" w:space="0"/>
            </w:tcBorders>
            <w:noWrap/>
            <w:vAlign w:val="center"/>
          </w:tcPr>
          <w:p w14:paraId="6D87999E">
            <w:pPr>
              <w:keepLines w:val="0"/>
              <w:pageBreakBefore w:val="0"/>
              <w:kinsoku/>
              <w:overflowPunct/>
              <w:bidi w:val="0"/>
              <w:spacing w:line="360" w:lineRule="auto"/>
              <w:outlineLvl w:val="5"/>
              <w:rPr>
                <w:rFonts w:hAnsi="宋体" w:cs="宋体"/>
                <w:color w:val="auto"/>
                <w:highlight w:val="none"/>
                <w:lang w:val="zh-CN"/>
              </w:rPr>
            </w:pPr>
            <w:r>
              <w:rPr>
                <w:rFonts w:hint="eastAsia" w:hAnsi="宋体" w:cs="宋体"/>
                <w:color w:val="auto"/>
                <w:highlight w:val="none"/>
                <w:lang w:val="zh-CN"/>
              </w:rPr>
              <w:t>本次采购不接受备选投标方案和多个报价。</w:t>
            </w:r>
          </w:p>
        </w:tc>
      </w:tr>
      <w:tr w14:paraId="75AA1D4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465" w:type="dxa"/>
            <w:tcBorders>
              <w:top w:val="single" w:color="auto" w:sz="4" w:space="0"/>
            </w:tcBorders>
            <w:shd w:val="clear" w:color="auto" w:fill="auto"/>
            <w:noWrap/>
            <w:vAlign w:val="center"/>
          </w:tcPr>
          <w:p w14:paraId="013C587B">
            <w:pPr>
              <w:keepLines w:val="0"/>
              <w:pageBreakBefore w:val="0"/>
              <w:kinsoku/>
              <w:overflowPunct/>
              <w:bidi w:val="0"/>
              <w:spacing w:line="360" w:lineRule="auto"/>
              <w:jc w:val="center"/>
              <w:outlineLvl w:val="5"/>
              <w:rPr>
                <w:rFonts w:hint="default" w:ascii="Times New Roman" w:hAnsi="宋体" w:eastAsia="宋体" w:cs="宋体"/>
                <w:color w:val="auto"/>
                <w:sz w:val="24"/>
                <w:szCs w:val="24"/>
                <w:highlight w:val="none"/>
                <w:lang w:val="en-US" w:eastAsia="zh-CN" w:bidi="ar-SA"/>
              </w:rPr>
            </w:pPr>
            <w:r>
              <w:rPr>
                <w:rFonts w:hAnsi="宋体" w:cs="宋体"/>
                <w:color w:val="auto"/>
                <w:highlight w:val="none"/>
                <w:lang w:val="zh-CN"/>
              </w:rPr>
              <w:t>2</w:t>
            </w:r>
            <w:r>
              <w:rPr>
                <w:rFonts w:hint="eastAsia" w:hAnsi="宋体" w:cs="宋体"/>
                <w:color w:val="auto"/>
                <w:highlight w:val="none"/>
                <w:lang w:val="en-US" w:eastAsia="zh-CN"/>
              </w:rPr>
              <w:t>4</w:t>
            </w:r>
          </w:p>
        </w:tc>
        <w:tc>
          <w:tcPr>
            <w:tcW w:w="1968" w:type="dxa"/>
            <w:tcBorders>
              <w:top w:val="single" w:color="auto" w:sz="4" w:space="0"/>
            </w:tcBorders>
            <w:noWrap/>
            <w:vAlign w:val="center"/>
          </w:tcPr>
          <w:p w14:paraId="16878BA7">
            <w:pPr>
              <w:keepLines w:val="0"/>
              <w:pageBreakBefore w:val="0"/>
              <w:kinsoku/>
              <w:overflowPunct/>
              <w:bidi w:val="0"/>
              <w:spacing w:line="360" w:lineRule="auto"/>
              <w:ind w:right="264" w:rightChars="0"/>
              <w:jc w:val="center"/>
              <w:rPr>
                <w:rFonts w:hint="eastAsia" w:ascii="Times New Roman" w:hAnsi="Times New Roman" w:eastAsia="宋体" w:cs="Times New Roman"/>
                <w:color w:val="auto"/>
                <w:kern w:val="1"/>
                <w:sz w:val="21"/>
                <w:szCs w:val="21"/>
                <w:highlight w:val="none"/>
                <w:lang w:val="zh-CN" w:eastAsia="zh-CN" w:bidi="ar-SA"/>
              </w:rPr>
            </w:pPr>
            <w:r>
              <w:rPr>
                <w:rFonts w:hint="eastAsia"/>
                <w:color w:val="auto"/>
                <w:kern w:val="1"/>
                <w:szCs w:val="21"/>
                <w:highlight w:val="none"/>
                <w:lang w:val="zh-CN"/>
              </w:rPr>
              <w:t>声明承诺提醒</w:t>
            </w:r>
          </w:p>
        </w:tc>
        <w:tc>
          <w:tcPr>
            <w:tcW w:w="6966" w:type="dxa"/>
            <w:tcBorders>
              <w:top w:val="single" w:color="auto" w:sz="4" w:space="0"/>
            </w:tcBorders>
            <w:noWrap/>
            <w:vAlign w:val="center"/>
          </w:tcPr>
          <w:p w14:paraId="1420490F">
            <w:pPr>
              <w:keepLines w:val="0"/>
              <w:pageBreakBefore w:val="0"/>
              <w:kinsoku/>
              <w:overflowPunct/>
              <w:bidi w:val="0"/>
              <w:spacing w:line="360" w:lineRule="auto"/>
              <w:ind w:right="264" w:rightChars="0"/>
              <w:jc w:val="left"/>
              <w:rPr>
                <w:rFonts w:hint="eastAsia" w:ascii="Times New Roman" w:hAnsi="Times New Roman" w:eastAsia="宋体" w:cs="Times New Roman"/>
                <w:color w:val="auto"/>
                <w:kern w:val="1"/>
                <w:sz w:val="21"/>
                <w:szCs w:val="21"/>
                <w:highlight w:val="none"/>
                <w:lang w:val="zh-CN" w:eastAsia="zh-CN" w:bidi="ar-SA"/>
              </w:rPr>
            </w:pPr>
            <w:r>
              <w:rPr>
                <w:rFonts w:hint="eastAsia"/>
                <w:color w:val="auto"/>
                <w:kern w:val="1"/>
                <w:szCs w:val="21"/>
                <w:highlight w:val="none"/>
                <w:lang w:val="zh-CN"/>
              </w:rPr>
              <w:t>供应商响应文件中提供的各种声明和承诺应当真实有效，无效声明和承诺、虚假声明和承诺将由供应商自己承担由此带来的任何不利后果，虚假声明和承诺还将报告监管部门追究法律责任。</w:t>
            </w:r>
          </w:p>
        </w:tc>
      </w:tr>
      <w:tr w14:paraId="3576836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c>
          <w:tcPr>
            <w:tcW w:w="465" w:type="dxa"/>
            <w:noWrap/>
            <w:vAlign w:val="center"/>
          </w:tcPr>
          <w:p w14:paraId="39AE36BF">
            <w:pPr>
              <w:keepLines w:val="0"/>
              <w:pageBreakBefore w:val="0"/>
              <w:kinsoku/>
              <w:overflowPunct/>
              <w:bidi w:val="0"/>
              <w:spacing w:line="360" w:lineRule="auto"/>
              <w:jc w:val="center"/>
              <w:outlineLvl w:val="5"/>
              <w:rPr>
                <w:rFonts w:hint="default" w:hAnsi="宋体" w:eastAsia="宋体" w:cs="宋体"/>
                <w:color w:val="auto"/>
                <w:highlight w:val="none"/>
                <w:lang w:val="en-US" w:eastAsia="zh-CN"/>
              </w:rPr>
            </w:pPr>
            <w:r>
              <w:rPr>
                <w:rFonts w:hint="eastAsia" w:hAnsi="宋体" w:cs="宋体"/>
                <w:color w:val="auto"/>
                <w:highlight w:val="none"/>
                <w:lang w:val="en-US" w:eastAsia="zh-CN"/>
              </w:rPr>
              <w:t>25</w:t>
            </w:r>
          </w:p>
        </w:tc>
        <w:tc>
          <w:tcPr>
            <w:tcW w:w="1968" w:type="dxa"/>
            <w:noWrap/>
            <w:vAlign w:val="center"/>
          </w:tcPr>
          <w:p w14:paraId="624D6598">
            <w:pPr>
              <w:keepLines w:val="0"/>
              <w:pageBreakBefore w:val="0"/>
              <w:kinsoku/>
              <w:overflowPunct/>
              <w:bidi w:val="0"/>
              <w:spacing w:line="360" w:lineRule="auto"/>
              <w:outlineLvl w:val="5"/>
              <w:rPr>
                <w:rFonts w:hAnsi="宋体" w:cs="宋体"/>
                <w:color w:val="auto"/>
                <w:highlight w:val="none"/>
                <w:lang w:val="zh-CN"/>
              </w:rPr>
            </w:pPr>
            <w:r>
              <w:rPr>
                <w:rFonts w:hint="eastAsia" w:hAnsi="宋体" w:cs="宋体"/>
                <w:color w:val="auto"/>
                <w:highlight w:val="none"/>
                <w:lang w:val="zh-CN"/>
              </w:rPr>
              <w:t>招标代理服务费</w:t>
            </w:r>
          </w:p>
        </w:tc>
        <w:tc>
          <w:tcPr>
            <w:tcW w:w="6966" w:type="dxa"/>
            <w:noWrap/>
            <w:vAlign w:val="center"/>
          </w:tcPr>
          <w:p w14:paraId="1FAEB037">
            <w:pPr>
              <w:spacing w:line="360" w:lineRule="auto"/>
              <w:rPr>
                <w:rFonts w:hint="eastAsia"/>
                <w:color w:val="auto"/>
                <w:sz w:val="24"/>
                <w:szCs w:val="24"/>
                <w:highlight w:val="none"/>
                <w:lang w:val="zh-CN" w:eastAsia="zh-CN"/>
              </w:rPr>
            </w:pPr>
            <w:r>
              <w:rPr>
                <w:rFonts w:hint="eastAsia"/>
                <w:color w:val="auto"/>
                <w:sz w:val="24"/>
                <w:szCs w:val="24"/>
                <w:highlight w:val="none"/>
                <w:lang w:val="zh-CN" w:eastAsia="zh-CN"/>
              </w:rPr>
              <w:t>采购代理服务费由中标人承担，参照《国家计委关于印发〈招标代理服务费收费标准管理暂行办法〉的通知》（计价格[2002]1980号）和《国家发展改革委办公厅关于招标代理服务收费有关问题的通知》（发改办价格[2003]857号）原则，本项目按</w:t>
            </w:r>
            <w:r>
              <w:rPr>
                <w:rFonts w:hint="eastAsia" w:hAnsi="宋体" w:eastAsia="宋体" w:cs="宋体"/>
                <w:sz w:val="24"/>
                <w:szCs w:val="24"/>
                <w:lang w:val="en-US" w:eastAsia="zh-CN"/>
              </w:rPr>
              <w:t>4</w:t>
            </w:r>
            <w:r>
              <w:rPr>
                <w:rFonts w:hint="eastAsia" w:hAnsi="宋体" w:cs="宋体"/>
                <w:sz w:val="24"/>
                <w:szCs w:val="24"/>
                <w:lang w:val="en-US" w:eastAsia="zh-CN"/>
              </w:rPr>
              <w:t>800</w:t>
            </w:r>
            <w:r>
              <w:rPr>
                <w:rFonts w:ascii="宋体" w:hAnsi="宋体" w:eastAsia="宋体" w:cs="宋体"/>
                <w:sz w:val="24"/>
                <w:szCs w:val="24"/>
              </w:rPr>
              <w:t>元</w:t>
            </w:r>
            <w:r>
              <w:rPr>
                <w:rFonts w:hint="eastAsia"/>
                <w:color w:val="auto"/>
                <w:sz w:val="24"/>
                <w:szCs w:val="24"/>
                <w:highlight w:val="none"/>
                <w:lang w:val="zh-CN" w:eastAsia="zh-CN"/>
              </w:rPr>
              <w:t>收取，由中标人支付。</w:t>
            </w:r>
          </w:p>
          <w:p w14:paraId="77367F2F">
            <w:pPr>
              <w:keepLines w:val="0"/>
              <w:pageBreakBefore w:val="0"/>
              <w:widowControl/>
              <w:kinsoku/>
              <w:overflowPunct/>
              <w:bidi w:val="0"/>
              <w:spacing w:line="360" w:lineRule="auto"/>
              <w:rPr>
                <w:color w:val="auto"/>
                <w:szCs w:val="21"/>
                <w:highlight w:val="none"/>
                <w:lang w:val="zh-CN"/>
              </w:rPr>
            </w:pPr>
            <w:r>
              <w:rPr>
                <w:rFonts w:hint="eastAsia"/>
                <w:color w:val="auto"/>
                <w:szCs w:val="21"/>
                <w:highlight w:val="none"/>
                <w:lang w:val="zh-CN"/>
              </w:rPr>
              <w:t>收款单位：四川五邑招标代理有限公司</w:t>
            </w:r>
          </w:p>
          <w:p w14:paraId="5F852EC5">
            <w:pPr>
              <w:keepLines w:val="0"/>
              <w:pageBreakBefore w:val="0"/>
              <w:widowControl/>
              <w:kinsoku/>
              <w:overflowPunct/>
              <w:bidi w:val="0"/>
              <w:spacing w:line="360" w:lineRule="auto"/>
              <w:rPr>
                <w:rFonts w:hint="eastAsia" w:ascii="Times New Roman" w:hAnsi="Times New Roman" w:eastAsia="宋体" w:cs="Times New Roman"/>
                <w:color w:val="auto"/>
                <w:szCs w:val="21"/>
                <w:highlight w:val="none"/>
                <w:lang w:val="zh-CN"/>
              </w:rPr>
            </w:pPr>
            <w:r>
              <w:rPr>
                <w:rFonts w:hint="eastAsia"/>
                <w:color w:val="auto"/>
                <w:szCs w:val="21"/>
                <w:highlight w:val="none"/>
                <w:lang w:val="zh-CN"/>
              </w:rPr>
              <w:t>开 户 行：招商银行</w:t>
            </w:r>
            <w:r>
              <w:rPr>
                <w:rFonts w:hint="eastAsia" w:ascii="Times New Roman" w:hAnsi="Times New Roman" w:eastAsia="宋体" w:cs="Times New Roman"/>
                <w:color w:val="auto"/>
                <w:szCs w:val="21"/>
                <w:highlight w:val="none"/>
                <w:lang w:val="zh-CN"/>
              </w:rPr>
              <w:t>股份有限公司成都双楠支行</w:t>
            </w:r>
          </w:p>
          <w:p w14:paraId="126C5D71">
            <w:pPr>
              <w:keepLines w:val="0"/>
              <w:pageBreakBefore w:val="0"/>
              <w:widowControl/>
              <w:kinsoku/>
              <w:overflowPunct/>
              <w:bidi w:val="0"/>
              <w:spacing w:line="360" w:lineRule="auto"/>
              <w:rPr>
                <w:rFonts w:hint="eastAsia" w:ascii="Times New Roman" w:hAnsi="Times New Roman" w:eastAsia="宋体" w:cs="Times New Roman"/>
                <w:color w:val="auto"/>
                <w:szCs w:val="21"/>
                <w:highlight w:val="none"/>
                <w:lang w:val="zh-CN"/>
              </w:rPr>
            </w:pPr>
            <w:r>
              <w:rPr>
                <w:rFonts w:hint="eastAsia" w:ascii="Times New Roman" w:hAnsi="Times New Roman" w:eastAsia="宋体" w:cs="Times New Roman"/>
                <w:color w:val="auto"/>
                <w:szCs w:val="21"/>
                <w:highlight w:val="none"/>
                <w:lang w:val="zh-CN"/>
              </w:rPr>
              <w:t>银行账号：1289 1045 2210 901</w:t>
            </w:r>
          </w:p>
          <w:p w14:paraId="69B100B1">
            <w:pPr>
              <w:keepLines w:val="0"/>
              <w:pageBreakBefore w:val="0"/>
              <w:widowControl/>
              <w:kinsoku/>
              <w:overflowPunct/>
              <w:bidi w:val="0"/>
              <w:spacing w:line="360" w:lineRule="auto"/>
              <w:rPr>
                <w:color w:val="auto"/>
              </w:rPr>
            </w:pPr>
            <w:r>
              <w:rPr>
                <w:rFonts w:hint="eastAsia" w:ascii="Times New Roman" w:hAnsi="Times New Roman" w:eastAsia="宋体" w:cs="Times New Roman"/>
                <w:color w:val="auto"/>
                <w:szCs w:val="21"/>
                <w:highlight w:val="none"/>
                <w:lang w:val="zh-CN"/>
              </w:rPr>
              <w:t>银行行号：308651020111</w:t>
            </w:r>
          </w:p>
        </w:tc>
      </w:tr>
      <w:bookmarkEnd w:id="16"/>
      <w:bookmarkEnd w:id="17"/>
      <w:bookmarkEnd w:id="18"/>
      <w:bookmarkEnd w:id="19"/>
    </w:tbl>
    <w:p w14:paraId="0742DE3C">
      <w:pPr>
        <w:pStyle w:val="3"/>
        <w:keepLines w:val="0"/>
        <w:pageBreakBefore w:val="0"/>
        <w:kinsoku/>
        <w:overflowPunct/>
        <w:bidi w:val="0"/>
        <w:spacing w:line="360" w:lineRule="auto"/>
        <w:jc w:val="center"/>
        <w:rPr>
          <w:color w:val="auto"/>
          <w:highlight w:val="none"/>
        </w:rPr>
      </w:pPr>
      <w:bookmarkStart w:id="30" w:name="_Toc25712"/>
      <w:bookmarkStart w:id="31" w:name="_Toc89075873"/>
      <w:bookmarkStart w:id="32" w:name="_Toc217446033"/>
      <w:bookmarkStart w:id="33" w:name="_Toc183582204"/>
      <w:bookmarkStart w:id="34" w:name="_Toc77400778"/>
      <w:bookmarkStart w:id="35" w:name="_Toc183682341"/>
      <w:bookmarkStart w:id="36" w:name="_Toc7438"/>
      <w:r>
        <w:rPr>
          <w:rFonts w:hint="eastAsia"/>
          <w:color w:val="auto"/>
          <w:highlight w:val="none"/>
        </w:rPr>
        <w:br w:type="page"/>
      </w:r>
      <w:r>
        <w:rPr>
          <w:rFonts w:hint="eastAsia"/>
          <w:color w:val="auto"/>
          <w:highlight w:val="none"/>
        </w:rPr>
        <w:t>二、总  则</w:t>
      </w:r>
      <w:bookmarkEnd w:id="30"/>
      <w:bookmarkEnd w:id="31"/>
      <w:bookmarkEnd w:id="32"/>
      <w:bookmarkEnd w:id="33"/>
      <w:bookmarkEnd w:id="34"/>
      <w:bookmarkEnd w:id="35"/>
      <w:bookmarkEnd w:id="36"/>
    </w:p>
    <w:p w14:paraId="79F0E290">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37" w:name="_Toc183682342"/>
      <w:bookmarkStart w:id="38" w:name="_Toc183582205"/>
      <w:bookmarkStart w:id="39" w:name="_Toc217446034"/>
      <w:r>
        <w:rPr>
          <w:rFonts w:hint="eastAsia" w:ascii="宋体" w:hAnsi="宋体"/>
          <w:b/>
          <w:bCs/>
          <w:color w:val="auto"/>
          <w:sz w:val="24"/>
          <w:highlight w:val="none"/>
          <w:lang w:eastAsia="zh-CN"/>
        </w:rPr>
        <w:t>1.</w:t>
      </w:r>
      <w:bookmarkEnd w:id="37"/>
      <w:bookmarkEnd w:id="38"/>
      <w:r>
        <w:rPr>
          <w:rFonts w:hint="eastAsia" w:ascii="宋体" w:hAnsi="宋体"/>
          <w:b/>
          <w:bCs/>
          <w:color w:val="auto"/>
          <w:sz w:val="24"/>
          <w:highlight w:val="none"/>
          <w:lang w:eastAsia="zh-CN"/>
        </w:rPr>
        <w:t xml:space="preserve"> 适用范围</w:t>
      </w:r>
      <w:bookmarkEnd w:id="39"/>
    </w:p>
    <w:p w14:paraId="659474B8">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1.1 本招标文件仅适用于本次公开招标采购项目。</w:t>
      </w:r>
    </w:p>
    <w:p w14:paraId="3C50EB97">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40" w:name="_Toc183682343"/>
      <w:bookmarkStart w:id="41" w:name="_Toc183582206"/>
      <w:bookmarkStart w:id="42" w:name="_Toc217446035"/>
      <w:r>
        <w:rPr>
          <w:rFonts w:hint="eastAsia" w:ascii="宋体" w:hAnsi="宋体"/>
          <w:b/>
          <w:bCs/>
          <w:color w:val="auto"/>
          <w:sz w:val="24"/>
          <w:highlight w:val="none"/>
          <w:lang w:eastAsia="zh-CN"/>
        </w:rPr>
        <w:t xml:space="preserve">2. </w:t>
      </w:r>
      <w:bookmarkEnd w:id="40"/>
      <w:bookmarkEnd w:id="41"/>
      <w:r>
        <w:rPr>
          <w:rFonts w:hint="eastAsia" w:ascii="宋体" w:hAnsi="宋体"/>
          <w:b/>
          <w:bCs/>
          <w:color w:val="auto"/>
          <w:sz w:val="24"/>
          <w:highlight w:val="none"/>
          <w:lang w:eastAsia="zh-CN"/>
        </w:rPr>
        <w:t>有关定义</w:t>
      </w:r>
      <w:bookmarkEnd w:id="42"/>
    </w:p>
    <w:p w14:paraId="4294CAB2">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2.1 “采购人”系指依法进行政府采购的国家机关、事业单位、团体组织。本次招标的采购人是</w:t>
      </w:r>
      <w:r>
        <w:rPr>
          <w:rFonts w:hint="eastAsia" w:hAnsi="宋体" w:cs="宋体"/>
          <w:b w:val="0"/>
          <w:bCs/>
          <w:color w:val="auto"/>
          <w:highlight w:val="none"/>
          <w:u w:val="single"/>
          <w:lang w:eastAsia="zh-CN"/>
        </w:rPr>
        <w:t>凉山彝族自治州消防救援支队</w:t>
      </w:r>
      <w:r>
        <w:rPr>
          <w:rFonts w:hint="eastAsia" w:hAnsi="宋体" w:cs="宋体"/>
          <w:b w:val="0"/>
          <w:bCs/>
          <w:color w:val="auto"/>
          <w:highlight w:val="none"/>
        </w:rPr>
        <w:t>。</w:t>
      </w:r>
    </w:p>
    <w:p w14:paraId="647706B3">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2.2 “采购代理机构” 系指根据采购人的委托依法办理招标事宜的采购机构。本次招标的采购代理机构是</w:t>
      </w:r>
      <w:r>
        <w:rPr>
          <w:rFonts w:hint="eastAsia" w:hAnsi="宋体" w:cs="宋体"/>
          <w:b w:val="0"/>
          <w:bCs/>
          <w:color w:val="auto"/>
          <w:highlight w:val="none"/>
          <w:u w:val="single"/>
          <w:lang w:eastAsia="zh-CN"/>
        </w:rPr>
        <w:t>四川五邑招标代理有限公司</w:t>
      </w:r>
      <w:r>
        <w:rPr>
          <w:rFonts w:hint="eastAsia" w:hAnsi="宋体" w:cs="宋体"/>
          <w:b w:val="0"/>
          <w:bCs/>
          <w:color w:val="auto"/>
          <w:highlight w:val="none"/>
        </w:rPr>
        <w:t>。</w:t>
      </w:r>
    </w:p>
    <w:p w14:paraId="29EC7CB7">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2.3 “招标采购单位”系指“采购人”和“采购代理机构”的统称。</w:t>
      </w:r>
    </w:p>
    <w:p w14:paraId="140FAFC0">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2.4 “投标人”系指购买了招标文件拟参加投标和向采购人提供货物及相应服务的供应商。</w:t>
      </w:r>
      <w:bookmarkStart w:id="43" w:name="_Toc183582207"/>
      <w:bookmarkStart w:id="44" w:name="_Toc183682344"/>
      <w:bookmarkStart w:id="45" w:name="_Toc217390843"/>
      <w:bookmarkStart w:id="46" w:name="_Toc217446036"/>
    </w:p>
    <w:p w14:paraId="2E7CDCE1">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3. 合格的投标人</w:t>
      </w:r>
      <w:bookmarkEnd w:id="43"/>
      <w:bookmarkEnd w:id="44"/>
      <w:bookmarkEnd w:id="45"/>
      <w:bookmarkEnd w:id="46"/>
      <w:r>
        <w:rPr>
          <w:rFonts w:hint="eastAsia" w:ascii="宋体" w:hAnsi="宋体"/>
          <w:b/>
          <w:bCs/>
          <w:color w:val="auto"/>
          <w:sz w:val="24"/>
          <w:highlight w:val="none"/>
          <w:lang w:eastAsia="zh-CN"/>
        </w:rPr>
        <w:t>（实质性要求）</w:t>
      </w:r>
    </w:p>
    <w:p w14:paraId="1AE470ED">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3.1合格的投标人应具备以下条件：</w:t>
      </w:r>
    </w:p>
    <w:p w14:paraId="2E71DA0B">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（1）本招标文件规定的供应商资格条件；</w:t>
      </w:r>
    </w:p>
    <w:p w14:paraId="123DC11B">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（2）向采购代理机构购买了招标文件并登记备案；</w:t>
      </w:r>
    </w:p>
    <w:p w14:paraId="66F98FAE">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（3）遵守国家有关的法律、法规、规章和其他政策制度；</w:t>
      </w:r>
    </w:p>
    <w:p w14:paraId="3E9AB036">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（4）不属于禁止参加本项目采购活动的供应商；</w:t>
      </w:r>
    </w:p>
    <w:p w14:paraId="1091258D">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（5）供应商在参加</w:t>
      </w:r>
      <w:r>
        <w:rPr>
          <w:rFonts w:hint="eastAsia" w:hAnsi="宋体" w:cs="宋体"/>
          <w:b w:val="0"/>
          <w:bCs/>
          <w:color w:val="auto"/>
          <w:highlight w:val="none"/>
          <w:lang w:eastAsia="zh-CN"/>
        </w:rPr>
        <w:t>采购活动</w:t>
      </w:r>
      <w:r>
        <w:rPr>
          <w:rFonts w:hint="eastAsia" w:hAnsi="宋体" w:cs="宋体"/>
          <w:b w:val="0"/>
          <w:bCs/>
          <w:color w:val="auto"/>
          <w:highlight w:val="none"/>
        </w:rPr>
        <w:t>前，未被纳入法院、工商行政管理部门、税务部门、银行认定的失信名单且在有效期内，或者在前三年</w:t>
      </w:r>
      <w:r>
        <w:rPr>
          <w:rFonts w:hint="eastAsia" w:hAnsi="宋体" w:cs="宋体"/>
          <w:b w:val="0"/>
          <w:bCs/>
          <w:color w:val="auto"/>
          <w:highlight w:val="none"/>
          <w:lang w:eastAsia="zh-CN"/>
        </w:rPr>
        <w:t>采购合同</w:t>
      </w:r>
      <w:r>
        <w:rPr>
          <w:rFonts w:hint="eastAsia" w:hAnsi="宋体" w:cs="宋体"/>
          <w:b w:val="0"/>
          <w:bCs/>
          <w:color w:val="auto"/>
          <w:highlight w:val="none"/>
        </w:rPr>
        <w:t>履约过程中及其他经营活动履约过程中未依法履约被有关部门处罚（处理）。</w:t>
      </w:r>
    </w:p>
    <w:p w14:paraId="5B2F2FB9">
      <w:pPr>
        <w:keepNext w:val="0"/>
        <w:keepLines w:val="0"/>
        <w:pageBreakBefore w:val="0"/>
        <w:widowControl/>
        <w:tabs>
          <w:tab w:val="left" w:pos="7665"/>
        </w:tabs>
        <w:kinsoku/>
        <w:wordWrap/>
        <w:overflowPunct/>
        <w:topLinePunct w:val="0"/>
        <w:autoSpaceDE/>
        <w:autoSpaceDN/>
        <w:bidi w:val="0"/>
        <w:adjustRightInd/>
        <w:snapToGrid w:val="0"/>
        <w:spacing w:line="360" w:lineRule="auto"/>
        <w:ind w:firstLine="480" w:firstLineChars="200"/>
        <w:textAlignment w:val="auto"/>
        <w:outlineLvl w:val="9"/>
        <w:rPr>
          <w:rFonts w:hint="eastAsia" w:hAnsi="宋体" w:cs="宋体"/>
          <w:b w:val="0"/>
          <w:bCs/>
          <w:color w:val="auto"/>
          <w:highlight w:val="none"/>
        </w:rPr>
      </w:pPr>
      <w:r>
        <w:rPr>
          <w:rFonts w:hint="eastAsia" w:ascii="Times New Roman" w:hAnsi="宋体" w:eastAsia="宋体" w:cs="宋体"/>
          <w:b w:val="0"/>
          <w:bCs/>
          <w:color w:val="auto"/>
          <w:sz w:val="24"/>
          <w:szCs w:val="24"/>
          <w:highlight w:val="none"/>
          <w:lang w:val="en-US" w:eastAsia="zh-CN" w:bidi="ar-SA"/>
        </w:rPr>
        <w:t>（6）本项目参加采购活动的投标人在前三年内不得具有行贿犯罪记录。本项目参加采购活动的供应商及其现任法定代表人、主要负责人在前三年内不得具有行贿犯罪记录证明材料（在投标文件中进行承诺，如果虚假承诺，作无效投标、中标处理）。</w:t>
      </w:r>
    </w:p>
    <w:p w14:paraId="28A5B617">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47" w:name="_Toc183582208"/>
      <w:bookmarkStart w:id="48" w:name="_Toc217446037"/>
      <w:bookmarkStart w:id="49" w:name="_Toc183682345"/>
      <w:r>
        <w:rPr>
          <w:rFonts w:hint="eastAsia" w:ascii="宋体" w:hAnsi="宋体"/>
          <w:b/>
          <w:bCs/>
          <w:color w:val="auto"/>
          <w:sz w:val="24"/>
          <w:highlight w:val="none"/>
          <w:lang w:eastAsia="zh-CN"/>
        </w:rPr>
        <w:t>4. 投标费用</w:t>
      </w:r>
      <w:bookmarkEnd w:id="47"/>
      <w:bookmarkEnd w:id="48"/>
      <w:bookmarkEnd w:id="49"/>
      <w:r>
        <w:rPr>
          <w:rFonts w:hint="eastAsia" w:ascii="宋体" w:hAnsi="宋体"/>
          <w:b/>
          <w:bCs/>
          <w:color w:val="auto"/>
          <w:sz w:val="24"/>
          <w:highlight w:val="none"/>
          <w:lang w:eastAsia="zh-CN"/>
        </w:rPr>
        <w:t>（实质性要求）</w:t>
      </w:r>
    </w:p>
    <w:p w14:paraId="06C165EE">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投标人参加投标的有关费用由投标人自行承担。</w:t>
      </w:r>
    </w:p>
    <w:p w14:paraId="04FA86D1">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50" w:name="_Toc89075875"/>
      <w:bookmarkStart w:id="51" w:name="_Toc12399"/>
      <w:bookmarkStart w:id="52" w:name="_Toc217446038"/>
      <w:bookmarkStart w:id="53" w:name="_Toc183682346"/>
      <w:bookmarkStart w:id="54" w:name="_Toc20146"/>
      <w:bookmarkStart w:id="55" w:name="_Toc77400779"/>
      <w:bookmarkStart w:id="56" w:name="_Toc183582209"/>
      <w:r>
        <w:rPr>
          <w:rFonts w:hint="eastAsia" w:ascii="宋体" w:hAnsi="宋体"/>
          <w:b/>
          <w:bCs/>
          <w:color w:val="auto"/>
          <w:sz w:val="24"/>
          <w:highlight w:val="none"/>
          <w:lang w:eastAsia="zh-CN"/>
        </w:rPr>
        <w:t>5、充分、公平竞争保障措施（实质性要求）</w:t>
      </w:r>
    </w:p>
    <w:p w14:paraId="65E82183">
      <w:pPr>
        <w:pStyle w:val="109"/>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5.1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0535B71">
      <w:pPr>
        <w:pStyle w:val="109"/>
        <w:keepNext w:val="0"/>
        <w:keepLines w:val="0"/>
        <w:pageBreakBefore w:val="0"/>
        <w:widowControl/>
        <w:kinsoku/>
        <w:wordWrap w:val="0"/>
        <w:overflowPunct/>
        <w:topLinePunct/>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5.2利害关系供应商处理。单位负责人为同一人或者存在直接控股、管理关系的不同供应商不得参加同一合同项下的</w:t>
      </w:r>
      <w:r>
        <w:rPr>
          <w:rFonts w:hint="eastAsia" w:hAnsi="宋体" w:cs="宋体"/>
          <w:b w:val="0"/>
          <w:bCs/>
          <w:color w:val="auto"/>
          <w:highlight w:val="none"/>
          <w:lang w:eastAsia="zh-CN"/>
        </w:rPr>
        <w:t>采购活动</w:t>
      </w:r>
      <w:r>
        <w:rPr>
          <w:rFonts w:hint="eastAsia" w:hAnsi="宋体" w:cs="宋体"/>
          <w:b w:val="0"/>
          <w:bCs/>
          <w:color w:val="auto"/>
          <w:highlight w:val="none"/>
        </w:rPr>
        <w:t>。采购项目实行资格预审的，单位负责人为同一人或者存在直接控股、管理关系的不同供应商可以参加资格预审，但只能选择其中一家符合条件的供应商参加后续的</w:t>
      </w:r>
      <w:r>
        <w:rPr>
          <w:rFonts w:hint="eastAsia" w:hAnsi="宋体" w:cs="宋体"/>
          <w:b w:val="0"/>
          <w:bCs/>
          <w:color w:val="auto"/>
          <w:highlight w:val="none"/>
          <w:lang w:eastAsia="zh-CN"/>
        </w:rPr>
        <w:t>采购活动</w:t>
      </w:r>
      <w:r>
        <w:rPr>
          <w:rFonts w:hint="eastAsia" w:hAnsi="宋体" w:cs="宋体"/>
          <w:b w:val="0"/>
          <w:bCs/>
          <w:color w:val="auto"/>
          <w:highlight w:val="none"/>
        </w:rPr>
        <w:t>。</w:t>
      </w:r>
    </w:p>
    <w:p w14:paraId="09824D58">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w:t>
      </w:r>
      <w:r>
        <w:rPr>
          <w:rFonts w:hint="eastAsia" w:hAnsi="宋体" w:cs="宋体"/>
          <w:b w:val="0"/>
          <w:bCs/>
          <w:color w:val="auto"/>
          <w:highlight w:val="none"/>
          <w:lang w:eastAsia="zh-CN"/>
        </w:rPr>
        <w:t>采购合同</w:t>
      </w:r>
      <w:r>
        <w:rPr>
          <w:rFonts w:hint="eastAsia" w:hAnsi="宋体" w:cs="宋体"/>
          <w:b w:val="0"/>
          <w:bCs/>
          <w:color w:val="auto"/>
          <w:highlight w:val="none"/>
        </w:rPr>
        <w:t>等实质性内容条款的，视同为采购项目提供规范编制。</w:t>
      </w:r>
    </w:p>
    <w:p w14:paraId="3441BF7C">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5.4利害关系代理人处理。2家以上的供应商不得在同一合同项下的采购项目中，同时委托同一个自然人、同一家庭的人员、同一单位的人员作为其代理人，否则，其投标文件作为无效处理。</w:t>
      </w:r>
    </w:p>
    <w:p w14:paraId="08B1DC1C">
      <w:pPr>
        <w:pStyle w:val="87"/>
        <w:keepLines w:val="0"/>
        <w:pageBreakBefore w:val="0"/>
        <w:kinsoku/>
        <w:wordWrap/>
        <w:overflowPunct/>
        <w:topLinePunct w:val="0"/>
        <w:autoSpaceDE/>
        <w:autoSpaceDN/>
        <w:bidi w:val="0"/>
        <w:snapToGrid w:val="0"/>
        <w:spacing w:line="360" w:lineRule="auto"/>
        <w:ind w:left="1" w:firstLine="480" w:firstLineChars="200"/>
        <w:rPr>
          <w:rFonts w:hAnsi="宋体"/>
          <w:color w:val="auto"/>
          <w:sz w:val="24"/>
          <w:highlight w:val="none"/>
        </w:rPr>
      </w:pPr>
      <w:r>
        <w:rPr>
          <w:rFonts w:hint="eastAsia" w:hAnsi="宋体"/>
          <w:color w:val="auto"/>
          <w:sz w:val="24"/>
          <w:highlight w:val="none"/>
        </w:rPr>
        <w:t>5.5有下列情形之一的，视为投标人串通投标，其投标无效：</w:t>
      </w:r>
    </w:p>
    <w:p w14:paraId="05BE51CA">
      <w:pPr>
        <w:pStyle w:val="87"/>
        <w:keepLines w:val="0"/>
        <w:pageBreakBefore w:val="0"/>
        <w:kinsoku/>
        <w:wordWrap/>
        <w:overflowPunct/>
        <w:topLinePunct w:val="0"/>
        <w:autoSpaceDE/>
        <w:autoSpaceDN/>
        <w:bidi w:val="0"/>
        <w:snapToGrid w:val="0"/>
        <w:spacing w:line="360" w:lineRule="auto"/>
        <w:ind w:left="1" w:firstLine="480" w:firstLineChars="200"/>
        <w:rPr>
          <w:rFonts w:hAnsi="宋体"/>
          <w:color w:val="auto"/>
          <w:sz w:val="24"/>
          <w:highlight w:val="none"/>
        </w:rPr>
      </w:pPr>
      <w:r>
        <w:rPr>
          <w:rFonts w:hint="eastAsia" w:hAnsi="宋体"/>
          <w:color w:val="auto"/>
          <w:sz w:val="24"/>
          <w:highlight w:val="none"/>
        </w:rPr>
        <w:t>(一)不同投标人的投标文件由同一单位或者个人编制;</w:t>
      </w:r>
    </w:p>
    <w:p w14:paraId="4CC5DEC5">
      <w:pPr>
        <w:pStyle w:val="87"/>
        <w:keepLines w:val="0"/>
        <w:pageBreakBefore w:val="0"/>
        <w:kinsoku/>
        <w:wordWrap/>
        <w:overflowPunct/>
        <w:topLinePunct w:val="0"/>
        <w:autoSpaceDE/>
        <w:autoSpaceDN/>
        <w:bidi w:val="0"/>
        <w:snapToGrid w:val="0"/>
        <w:spacing w:line="360" w:lineRule="auto"/>
        <w:ind w:left="1" w:firstLine="480" w:firstLineChars="200"/>
        <w:rPr>
          <w:rFonts w:hAnsi="宋体"/>
          <w:color w:val="auto"/>
          <w:sz w:val="24"/>
          <w:highlight w:val="none"/>
        </w:rPr>
      </w:pPr>
      <w:r>
        <w:rPr>
          <w:rFonts w:hint="eastAsia" w:hAnsi="宋体"/>
          <w:color w:val="auto"/>
          <w:sz w:val="24"/>
          <w:highlight w:val="none"/>
        </w:rPr>
        <w:t>(二)不同投标人委托同一单位或者个人办理投标事宜;</w:t>
      </w:r>
    </w:p>
    <w:p w14:paraId="282D920C">
      <w:pPr>
        <w:pStyle w:val="87"/>
        <w:keepLines w:val="0"/>
        <w:pageBreakBefore w:val="0"/>
        <w:kinsoku/>
        <w:wordWrap/>
        <w:overflowPunct/>
        <w:topLinePunct w:val="0"/>
        <w:autoSpaceDE/>
        <w:autoSpaceDN/>
        <w:bidi w:val="0"/>
        <w:snapToGrid w:val="0"/>
        <w:spacing w:line="360" w:lineRule="auto"/>
        <w:ind w:left="1" w:firstLine="480" w:firstLineChars="200"/>
        <w:rPr>
          <w:rFonts w:hAnsi="宋体"/>
          <w:color w:val="auto"/>
          <w:sz w:val="24"/>
          <w:highlight w:val="none"/>
        </w:rPr>
      </w:pPr>
      <w:r>
        <w:rPr>
          <w:rFonts w:hint="eastAsia" w:hAnsi="宋体"/>
          <w:color w:val="auto"/>
          <w:sz w:val="24"/>
          <w:highlight w:val="none"/>
        </w:rPr>
        <w:t>(三)不同投标人的投标文件载明的项目管理成员或者联系人员为同一人（项目管理成员系指投标文件里供应商提供的法定代表人、被授权人及在投标文件里明确为本项目实施服务的具体人员）;</w:t>
      </w:r>
    </w:p>
    <w:p w14:paraId="07CC7496">
      <w:pPr>
        <w:pStyle w:val="87"/>
        <w:keepLines w:val="0"/>
        <w:pageBreakBefore w:val="0"/>
        <w:kinsoku/>
        <w:wordWrap/>
        <w:overflowPunct/>
        <w:topLinePunct w:val="0"/>
        <w:autoSpaceDE/>
        <w:autoSpaceDN/>
        <w:bidi w:val="0"/>
        <w:snapToGrid w:val="0"/>
        <w:spacing w:line="360" w:lineRule="auto"/>
        <w:ind w:left="1" w:firstLine="480" w:firstLineChars="200"/>
        <w:rPr>
          <w:rFonts w:hAnsi="宋体"/>
          <w:color w:val="auto"/>
          <w:sz w:val="24"/>
          <w:highlight w:val="none"/>
        </w:rPr>
      </w:pPr>
      <w:r>
        <w:rPr>
          <w:rFonts w:hint="eastAsia" w:hAnsi="宋体"/>
          <w:color w:val="auto"/>
          <w:sz w:val="24"/>
          <w:highlight w:val="none"/>
        </w:rPr>
        <w:t>(四)不同投标人的投标文件异常一致或者投标报价呈规律性差异;</w:t>
      </w:r>
    </w:p>
    <w:p w14:paraId="2F85FFCA">
      <w:pPr>
        <w:pStyle w:val="87"/>
        <w:keepLines w:val="0"/>
        <w:pageBreakBefore w:val="0"/>
        <w:kinsoku/>
        <w:wordWrap/>
        <w:overflowPunct/>
        <w:topLinePunct w:val="0"/>
        <w:autoSpaceDE/>
        <w:autoSpaceDN/>
        <w:bidi w:val="0"/>
        <w:snapToGrid w:val="0"/>
        <w:spacing w:line="360" w:lineRule="auto"/>
        <w:ind w:left="1" w:firstLine="480" w:firstLineChars="200"/>
        <w:rPr>
          <w:rFonts w:hAnsi="宋体"/>
          <w:color w:val="auto"/>
          <w:sz w:val="24"/>
          <w:highlight w:val="none"/>
        </w:rPr>
      </w:pPr>
      <w:r>
        <w:rPr>
          <w:rFonts w:hint="eastAsia" w:hAnsi="宋体"/>
          <w:color w:val="auto"/>
          <w:sz w:val="24"/>
          <w:highlight w:val="none"/>
        </w:rPr>
        <w:t>(五)不同投标人的投标文件相互混装;</w:t>
      </w:r>
    </w:p>
    <w:p w14:paraId="287B9241">
      <w:pPr>
        <w:pStyle w:val="87"/>
        <w:keepLines w:val="0"/>
        <w:pageBreakBefore w:val="0"/>
        <w:kinsoku/>
        <w:wordWrap/>
        <w:overflowPunct/>
        <w:topLinePunct w:val="0"/>
        <w:autoSpaceDE/>
        <w:autoSpaceDN/>
        <w:bidi w:val="0"/>
        <w:snapToGrid w:val="0"/>
        <w:spacing w:line="360" w:lineRule="auto"/>
        <w:ind w:left="1" w:firstLine="480" w:firstLineChars="200"/>
        <w:rPr>
          <w:rFonts w:hAnsi="宋体"/>
          <w:color w:val="auto"/>
          <w:sz w:val="24"/>
          <w:highlight w:val="none"/>
        </w:rPr>
      </w:pPr>
      <w:r>
        <w:rPr>
          <w:rFonts w:hint="eastAsia" w:hAnsi="宋体"/>
          <w:color w:val="auto"/>
          <w:sz w:val="24"/>
          <w:highlight w:val="none"/>
        </w:rPr>
        <w:t>(六)不同投标人的投标保证金（如有）从同一单位或者个人的账户转出。</w:t>
      </w:r>
    </w:p>
    <w:p w14:paraId="0F5303E4">
      <w:pPr>
        <w:pStyle w:val="87"/>
        <w:spacing w:after="0" w:line="360" w:lineRule="auto"/>
        <w:ind w:firstLine="420"/>
        <w:rPr>
          <w:rFonts w:hint="eastAsia" w:ascii="宋体" w:hAnsi="宋体" w:eastAsia="宋体"/>
          <w:b/>
          <w:bCs w:val="0"/>
          <w:color w:val="auto"/>
          <w:sz w:val="24"/>
          <w:highlight w:val="none"/>
        </w:rPr>
      </w:pPr>
      <w:r>
        <w:rPr>
          <w:rFonts w:hint="eastAsia" w:hAnsi="宋体"/>
          <w:b/>
          <w:bCs w:val="0"/>
          <w:color w:val="auto"/>
          <w:sz w:val="24"/>
          <w:highlight w:val="none"/>
          <w:lang w:val="en-US" w:eastAsia="zh-CN"/>
        </w:rPr>
        <w:t>注：平台将记录投标人上传电子投标文件时的IP地址及网卡MAC地址，若不同投标人的电子投标文件上传记录存在IP地址或网卡MAC地址相同的情况，且无法提供合理解释的，有可能被认定为不同投标人委托同一单位或者个人办理投标事宜，或不同投标人的投标文件由同一电子设备编制、打印加密或者上传，评标委员会有权按照招标文件相关规定否决其投标</w:t>
      </w:r>
      <w:r>
        <w:rPr>
          <w:rFonts w:hint="eastAsia" w:ascii="宋体" w:hAnsi="宋体" w:eastAsia="宋体"/>
          <w:b/>
          <w:bCs w:val="0"/>
          <w:color w:val="auto"/>
          <w:sz w:val="24"/>
          <w:highlight w:val="none"/>
        </w:rPr>
        <w:t>。</w:t>
      </w:r>
    </w:p>
    <w:p w14:paraId="1475F518">
      <w:pPr>
        <w:pStyle w:val="3"/>
        <w:keepLines w:val="0"/>
        <w:pageBreakBefore w:val="0"/>
        <w:kinsoku/>
        <w:overflowPunct/>
        <w:bidi w:val="0"/>
        <w:spacing w:line="360" w:lineRule="auto"/>
        <w:jc w:val="center"/>
        <w:rPr>
          <w:rFonts w:hint="eastAsia"/>
          <w:color w:val="auto"/>
          <w:highlight w:val="none"/>
        </w:rPr>
      </w:pPr>
      <w:r>
        <w:rPr>
          <w:rFonts w:hint="eastAsia"/>
          <w:color w:val="auto"/>
          <w:highlight w:val="none"/>
        </w:rPr>
        <w:t>三、招标文件</w:t>
      </w:r>
      <w:bookmarkEnd w:id="50"/>
      <w:bookmarkEnd w:id="51"/>
      <w:bookmarkEnd w:id="52"/>
      <w:bookmarkEnd w:id="53"/>
      <w:bookmarkEnd w:id="54"/>
      <w:bookmarkEnd w:id="55"/>
      <w:bookmarkEnd w:id="56"/>
    </w:p>
    <w:p w14:paraId="3E477947">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57" w:name="_Toc217446039"/>
      <w:bookmarkStart w:id="58" w:name="_Toc183582210"/>
      <w:bookmarkStart w:id="59" w:name="_Toc183682347"/>
      <w:r>
        <w:rPr>
          <w:rFonts w:hint="eastAsia" w:ascii="宋体" w:hAnsi="宋体"/>
          <w:b/>
          <w:bCs/>
          <w:color w:val="auto"/>
          <w:sz w:val="24"/>
          <w:highlight w:val="none"/>
          <w:lang w:eastAsia="zh-CN"/>
        </w:rPr>
        <w:t>6．招标文件的构成</w:t>
      </w:r>
      <w:bookmarkEnd w:id="57"/>
      <w:bookmarkEnd w:id="58"/>
      <w:bookmarkEnd w:id="59"/>
    </w:p>
    <w:p w14:paraId="7CB56C11">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6.1 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239B2F5B">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（一）投标邀请；</w:t>
      </w:r>
    </w:p>
    <w:p w14:paraId="391B790C">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（二）投标人须知；</w:t>
      </w:r>
    </w:p>
    <w:p w14:paraId="2839C789">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（三）投标文件格式；</w:t>
      </w:r>
    </w:p>
    <w:p w14:paraId="0F682A59">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（四）投标人和投标产品的资格、资质性及其他类似效力要求；</w:t>
      </w:r>
    </w:p>
    <w:p w14:paraId="557BDBD1">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（五）投标人应当提供的资格、资质性及其他类似效力要求的相关证明材料；</w:t>
      </w:r>
    </w:p>
    <w:p w14:paraId="1C4B7836">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（六）本项目技术、服务、政府采购履约主要条款及其他要求条款；</w:t>
      </w:r>
    </w:p>
    <w:p w14:paraId="2D3BC0F8">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（七）评标办法；</w:t>
      </w:r>
    </w:p>
    <w:p w14:paraId="5E7237A5">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（八）</w:t>
      </w:r>
      <w:r>
        <w:rPr>
          <w:rFonts w:hint="eastAsia" w:hAnsi="宋体" w:cs="宋体"/>
          <w:b w:val="0"/>
          <w:bCs/>
          <w:color w:val="auto"/>
          <w:highlight w:val="none"/>
          <w:lang w:eastAsia="zh-CN"/>
        </w:rPr>
        <w:t>采购合同</w:t>
      </w:r>
      <w:r>
        <w:rPr>
          <w:rFonts w:hint="eastAsia" w:hAnsi="宋体" w:cs="宋体"/>
          <w:b w:val="0"/>
          <w:bCs/>
          <w:color w:val="auto"/>
          <w:highlight w:val="none"/>
        </w:rPr>
        <w:t>（草案）。</w:t>
      </w:r>
    </w:p>
    <w:p w14:paraId="59D2BB26">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6.2 投标人应认真阅读和充分理解招标文件中所有的事项、格式条款和规范要求。投标人没有对招标文件全面做出实质性响应是投标人的风险。没有按照招标文件要求作出实质性响应的投标文件将被拒绝。</w:t>
      </w:r>
    </w:p>
    <w:p w14:paraId="38ABE3D9">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60" w:name="_Toc183582211"/>
      <w:bookmarkStart w:id="61" w:name="_Toc183682348"/>
      <w:bookmarkStart w:id="62" w:name="_Toc217446040"/>
      <w:r>
        <w:rPr>
          <w:rFonts w:hint="eastAsia" w:ascii="宋体" w:hAnsi="宋体"/>
          <w:b/>
          <w:bCs/>
          <w:color w:val="auto"/>
          <w:sz w:val="24"/>
          <w:highlight w:val="none"/>
          <w:lang w:eastAsia="zh-CN"/>
        </w:rPr>
        <w:t>7. 招标文件的澄清</w:t>
      </w:r>
      <w:bookmarkEnd w:id="60"/>
      <w:bookmarkEnd w:id="61"/>
      <w:r>
        <w:rPr>
          <w:rFonts w:hint="eastAsia" w:ascii="宋体" w:hAnsi="宋体"/>
          <w:b/>
          <w:bCs/>
          <w:color w:val="auto"/>
          <w:sz w:val="24"/>
          <w:highlight w:val="none"/>
          <w:lang w:eastAsia="zh-CN"/>
        </w:rPr>
        <w:t>和修改</w:t>
      </w:r>
      <w:bookmarkEnd w:id="62"/>
    </w:p>
    <w:p w14:paraId="0A8D3DC7">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7.1招标采购单位可以依法对招标文件进行澄清或者修改。</w:t>
      </w:r>
    </w:p>
    <w:p w14:paraId="60CC1DEC">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7.2招标采购单位对已发出的招标文件进行澄清或者修改，应当以书面形式将澄清或者修改的内容通知所有购买了招标文件的供应商，同时在“</w:t>
      </w:r>
      <w:r>
        <w:rPr>
          <w:rFonts w:hint="eastAsia" w:hAnsi="宋体" w:cs="宋体"/>
          <w:b w:val="0"/>
          <w:bCs/>
          <w:color w:val="auto"/>
          <w:highlight w:val="none"/>
          <w:lang w:eastAsia="zh-CN"/>
        </w:rPr>
        <w:t>中国政府采购网</w:t>
      </w:r>
      <w:r>
        <w:rPr>
          <w:rFonts w:hint="eastAsia" w:hAnsi="宋体" w:cs="宋体"/>
          <w:b w:val="0"/>
          <w:bCs/>
          <w:color w:val="auto"/>
          <w:highlight w:val="none"/>
        </w:rPr>
        <w:t>”上发布更正公告。该澄清或者修改的内容为招标文件的组成部分，澄清或者修改的内容可能影响投标文件、资格预审申请文件编制的，采购人或者采购代理机构发布公告并书面通知供应商的时间，应当在投标截止时间至少15日前、提交资格预审申请文件截止时间至少3日前；不足上述时间的，应当顺延提交投标文件、资格预审申请文件的截止时间。</w:t>
      </w:r>
    </w:p>
    <w:p w14:paraId="38DBEA72">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7.3 投标人认为需要对招标文件进行澄清或者修改的，可以以书面形式向招标采购单位提出申请，但招标采购单位可以决定是否采纳投标人的申请事项。</w:t>
      </w:r>
    </w:p>
    <w:p w14:paraId="4032C20B">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63" w:name="_Toc217446041"/>
      <w:bookmarkStart w:id="64" w:name="_Toc208848971"/>
      <w:r>
        <w:rPr>
          <w:rFonts w:hint="eastAsia" w:ascii="宋体" w:hAnsi="宋体"/>
          <w:b/>
          <w:bCs/>
          <w:color w:val="auto"/>
          <w:sz w:val="24"/>
          <w:highlight w:val="none"/>
          <w:lang w:eastAsia="zh-CN"/>
        </w:rPr>
        <w:t>8. 答疑会和现场考察</w:t>
      </w:r>
      <w:bookmarkEnd w:id="63"/>
      <w:bookmarkEnd w:id="64"/>
    </w:p>
    <w:p w14:paraId="69EE14F5">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51F25977">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8.2 供应商考察现场所发生的一切费用由供应商自己承担。</w:t>
      </w:r>
    </w:p>
    <w:p w14:paraId="64FD728E">
      <w:pPr>
        <w:pStyle w:val="3"/>
        <w:keepLines w:val="0"/>
        <w:pageBreakBefore w:val="0"/>
        <w:kinsoku/>
        <w:overflowPunct/>
        <w:bidi w:val="0"/>
        <w:spacing w:line="360" w:lineRule="auto"/>
        <w:rPr>
          <w:color w:val="auto"/>
          <w:highlight w:val="none"/>
        </w:rPr>
      </w:pPr>
      <w:bookmarkStart w:id="65" w:name="_Toc77400780"/>
      <w:bookmarkStart w:id="66" w:name="_Toc183582214"/>
      <w:bookmarkStart w:id="67" w:name="_Toc183682351"/>
      <w:bookmarkStart w:id="68" w:name="_Toc89075876"/>
      <w:bookmarkStart w:id="69" w:name="_Toc15488"/>
      <w:bookmarkStart w:id="70" w:name="_Toc217446042"/>
      <w:bookmarkStart w:id="71" w:name="_Toc32092"/>
      <w:r>
        <w:rPr>
          <w:rFonts w:hint="eastAsia"/>
          <w:color w:val="auto"/>
          <w:highlight w:val="none"/>
        </w:rPr>
        <w:t>四、投标文件</w:t>
      </w:r>
      <w:bookmarkEnd w:id="65"/>
      <w:bookmarkEnd w:id="66"/>
      <w:bookmarkEnd w:id="67"/>
      <w:bookmarkEnd w:id="68"/>
      <w:bookmarkEnd w:id="69"/>
      <w:bookmarkEnd w:id="70"/>
      <w:bookmarkEnd w:id="71"/>
    </w:p>
    <w:p w14:paraId="29690A10">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72" w:name="_Toc217446043"/>
      <w:bookmarkStart w:id="73" w:name="_Toc183582215"/>
      <w:bookmarkStart w:id="74" w:name="_Toc183682352"/>
      <w:r>
        <w:rPr>
          <w:rFonts w:hint="eastAsia" w:ascii="宋体" w:hAnsi="宋体"/>
          <w:b/>
          <w:bCs/>
          <w:color w:val="auto"/>
          <w:sz w:val="24"/>
          <w:highlight w:val="none"/>
          <w:lang w:eastAsia="zh-CN"/>
        </w:rPr>
        <w:t>9．投标文件的语言</w:t>
      </w:r>
      <w:bookmarkEnd w:id="72"/>
      <w:bookmarkEnd w:id="73"/>
      <w:bookmarkEnd w:id="74"/>
    </w:p>
    <w:p w14:paraId="13F597B0">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9.1 投标人提交的投标文件以及投标人与招标采购单位就有关投标的所有来往书面文件均须使用中文</w:t>
      </w:r>
      <w:r>
        <w:rPr>
          <w:rFonts w:hint="eastAsia" w:hAnsi="宋体" w:cs="宋体"/>
          <w:b/>
          <w:bCs w:val="0"/>
          <w:color w:val="auto"/>
          <w:highlight w:val="none"/>
        </w:rPr>
        <w:t>（实质性要求）</w:t>
      </w:r>
      <w:r>
        <w:rPr>
          <w:rFonts w:hint="eastAsia" w:hAnsi="宋体" w:cs="宋体"/>
          <w:b w:val="0"/>
          <w:bCs/>
          <w:color w:val="auto"/>
          <w:highlight w:val="none"/>
        </w:rPr>
        <w:t>。投标文件中如附有外文资料，应对应翻译成中文并加盖投标人公章后附在相关外文资料后面。（说明：供应商的法定代表人为外籍人士的，法定代表人的签字和护照除外。）</w:t>
      </w:r>
    </w:p>
    <w:p w14:paraId="704674FA">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9.2 翻译的中文资料与外文资料如果出现差异和矛盾时，以中文为准。</w:t>
      </w:r>
      <w:bookmarkStart w:id="75" w:name="_Toc183582216"/>
      <w:bookmarkStart w:id="76" w:name="_Toc217446044"/>
      <w:bookmarkStart w:id="77" w:name="_Toc183682353"/>
      <w:r>
        <w:rPr>
          <w:rFonts w:hint="eastAsia" w:hAnsi="宋体" w:cs="宋体"/>
          <w:b w:val="0"/>
          <w:bCs/>
          <w:color w:val="auto"/>
          <w:highlight w:val="none"/>
        </w:rPr>
        <w:t>涉嫌虚假响应的按照相关法律法规处理。</w:t>
      </w:r>
    </w:p>
    <w:p w14:paraId="0994D71C">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10．计量单位</w:t>
      </w:r>
      <w:bookmarkEnd w:id="75"/>
      <w:bookmarkEnd w:id="76"/>
      <w:bookmarkEnd w:id="77"/>
      <w:r>
        <w:rPr>
          <w:rFonts w:hint="eastAsia" w:ascii="宋体" w:hAnsi="宋体"/>
          <w:b/>
          <w:bCs/>
          <w:color w:val="auto"/>
          <w:sz w:val="24"/>
          <w:highlight w:val="none"/>
          <w:lang w:eastAsia="zh-CN"/>
        </w:rPr>
        <w:t>（实质性要求）</w:t>
      </w:r>
    </w:p>
    <w:p w14:paraId="69C7DF90">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除招标文件中另有规定外，本次采购项目所有合同项下的投标均采用国家法定的计量单位。</w:t>
      </w:r>
    </w:p>
    <w:p w14:paraId="18FA0C46">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78" w:name="_Toc217446045"/>
      <w:r>
        <w:rPr>
          <w:rFonts w:hint="eastAsia" w:ascii="宋体" w:hAnsi="宋体"/>
          <w:b/>
          <w:bCs/>
          <w:color w:val="auto"/>
          <w:sz w:val="24"/>
          <w:highlight w:val="none"/>
          <w:lang w:eastAsia="zh-CN"/>
        </w:rPr>
        <w:t>11. 投标货币</w:t>
      </w:r>
      <w:bookmarkEnd w:id="78"/>
      <w:r>
        <w:rPr>
          <w:rFonts w:hint="eastAsia" w:ascii="宋体" w:hAnsi="宋体"/>
          <w:b/>
          <w:bCs/>
          <w:color w:val="auto"/>
          <w:sz w:val="24"/>
          <w:highlight w:val="none"/>
          <w:lang w:eastAsia="zh-CN"/>
        </w:rPr>
        <w:t>（实质性要求）</w:t>
      </w:r>
    </w:p>
    <w:p w14:paraId="28DED408">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本次招标项目的投标均以人民币报价。</w:t>
      </w:r>
    </w:p>
    <w:p w14:paraId="61D1800F">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79" w:name="_Toc217446046"/>
      <w:r>
        <w:rPr>
          <w:rFonts w:hint="eastAsia" w:ascii="宋体" w:hAnsi="宋体"/>
          <w:b/>
          <w:bCs/>
          <w:color w:val="auto"/>
          <w:sz w:val="24"/>
          <w:highlight w:val="none"/>
          <w:lang w:eastAsia="zh-CN"/>
        </w:rPr>
        <w:t>12. 联合体投标</w:t>
      </w:r>
      <w:bookmarkEnd w:id="79"/>
    </w:p>
    <w:p w14:paraId="1AD76648">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bookmarkStart w:id="80" w:name="_Toc217446047"/>
      <w:r>
        <w:rPr>
          <w:rFonts w:hint="eastAsia" w:hAnsi="宋体" w:cs="宋体"/>
          <w:b w:val="0"/>
          <w:bCs/>
          <w:color w:val="auto"/>
          <w:highlight w:val="none"/>
        </w:rPr>
        <w:t>本项目不接受联合体投标。</w:t>
      </w:r>
    </w:p>
    <w:p w14:paraId="60403FA3">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13. 知识产权</w:t>
      </w:r>
      <w:bookmarkEnd w:id="80"/>
      <w:r>
        <w:rPr>
          <w:rFonts w:hint="eastAsia" w:ascii="宋体" w:hAnsi="宋体"/>
          <w:b/>
          <w:bCs/>
          <w:color w:val="auto"/>
          <w:sz w:val="24"/>
          <w:highlight w:val="none"/>
          <w:lang w:eastAsia="zh-CN"/>
        </w:rPr>
        <w:t>（实质性要求）</w:t>
      </w:r>
    </w:p>
    <w:p w14:paraId="3F3F9AF8">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6E11E531">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13.2 采购人享有本项目实施过程中产生的知识成果及知识产权。</w:t>
      </w:r>
    </w:p>
    <w:p w14:paraId="37839DEC">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13.3 投标人如欲在项目实施过程中采用自有知识成果，需在投标文件中声明，并提供相关知识产权证明文件。使用该知识成果后，投标人需提供开发接口和开发手册等技术文档，并承诺提供无限期技术支持，采购人享有永久使用权（含采购人委托第三方在该项目后续开发的使用权）。</w:t>
      </w:r>
    </w:p>
    <w:p w14:paraId="0A137EC9">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 xml:space="preserve">13.4 如采用投标人所不拥有的知识产权，则在投标报价中必须包括合法获取该知识产权的相关费用。  </w:t>
      </w:r>
      <w:bookmarkStart w:id="81" w:name="_Toc183582217"/>
      <w:bookmarkStart w:id="82" w:name="_Toc217446048"/>
      <w:bookmarkStart w:id="83" w:name="_Toc183682354"/>
    </w:p>
    <w:p w14:paraId="4EAC5DC5">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14．投标文件的组成</w:t>
      </w:r>
      <w:bookmarkEnd w:id="81"/>
      <w:bookmarkEnd w:id="82"/>
      <w:bookmarkEnd w:id="83"/>
    </w:p>
    <w:p w14:paraId="1445AFBE">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投标人应按照招标文件的规定和要求编制投标文件。投标人拟在中标后将中标项目的非主体、非关键性工作交由他人完成的，应当在投标文件中载明。投标人编写的投标文件应包括下列部分：</w:t>
      </w:r>
    </w:p>
    <w:p w14:paraId="50E17447">
      <w:pPr>
        <w:pStyle w:val="109"/>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hAnsi="宋体" w:cs="宋体"/>
          <w:b w:val="0"/>
          <w:bCs/>
          <w:color w:val="auto"/>
          <w:highlight w:val="none"/>
        </w:rPr>
      </w:pPr>
      <w:r>
        <w:rPr>
          <w:rFonts w:hint="eastAsia" w:hAnsi="宋体" w:cs="宋体"/>
          <w:b/>
          <w:bCs w:val="0"/>
          <w:color w:val="auto"/>
          <w:highlight w:val="none"/>
        </w:rPr>
        <w:t>14.1 报价部分。</w:t>
      </w:r>
      <w:r>
        <w:rPr>
          <w:rFonts w:hint="eastAsia" w:hAnsi="宋体" w:cs="宋体"/>
          <w:b w:val="0"/>
          <w:bCs/>
          <w:color w:val="auto"/>
          <w:highlight w:val="none"/>
        </w:rPr>
        <w:t>投标人按照招标文件要求填写的“开标一览表”及“报价明细表”。 本次招标报价要求：</w:t>
      </w:r>
    </w:p>
    <w:p w14:paraId="5CEF2462">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（1）投标人的报价是投标人响应招标项目要求的全部工作内容的价格体现，包括投标人完成本项目所需的一切费用。（实质性要求）</w:t>
      </w:r>
    </w:p>
    <w:p w14:paraId="6A260064">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（2）投标人每种货物只允许有一个报价，并且在合同履行过程中是固定不变的，任何有选择或可调整的报价将不予接受，并按无效投标处理。（实质性要求）</w:t>
      </w:r>
    </w:p>
    <w:p w14:paraId="1992C571">
      <w:pPr>
        <w:spacing w:line="360" w:lineRule="auto"/>
        <w:ind w:firstLine="426" w:firstLineChars="177"/>
        <w:rPr>
          <w:rFonts w:hint="eastAsia" w:ascii="宋体" w:hAnsi="宋体" w:cs="宋体"/>
          <w:color w:val="auto"/>
          <w:sz w:val="24"/>
          <w:highlight w:val="none"/>
        </w:rPr>
      </w:pPr>
      <w:bookmarkStart w:id="84" w:name="_Toc183682355"/>
      <w:bookmarkStart w:id="85" w:name="_Toc183582218"/>
      <w:bookmarkStart w:id="86" w:name="_Toc217446049"/>
      <w:bookmarkStart w:id="87" w:name="_Toc217446081"/>
      <w:r>
        <w:rPr>
          <w:rFonts w:hint="eastAsia" w:hAnsi="宋体" w:cs="宋体"/>
          <w:b/>
          <w:bCs w:val="0"/>
          <w:color w:val="auto"/>
          <w:highlight w:val="none"/>
        </w:rPr>
        <w:t>14.2 技术部分。</w:t>
      </w:r>
      <w:r>
        <w:rPr>
          <w:rFonts w:hint="eastAsia" w:ascii="宋体" w:hAnsi="宋体" w:cs="宋体"/>
          <w:bCs/>
          <w:color w:val="auto"/>
          <w:sz w:val="24"/>
          <w:highlight w:val="none"/>
        </w:rPr>
        <w:t>投标人</w:t>
      </w:r>
      <w:r>
        <w:rPr>
          <w:rFonts w:hint="eastAsia" w:ascii="宋体" w:hAnsi="宋体" w:cs="宋体"/>
          <w:color w:val="auto"/>
          <w:sz w:val="24"/>
          <w:highlight w:val="none"/>
        </w:rPr>
        <w:t>按照招标文件要求做出的技术应答，主要是针对招标项目的技术指标、参数和技术要求做出的响应和满足。投标人的技术应答应包括下列内容：</w:t>
      </w:r>
    </w:p>
    <w:p w14:paraId="51F00481">
      <w:pPr>
        <w:pStyle w:val="109"/>
        <w:ind w:firstLine="480"/>
        <w:rPr>
          <w:rFonts w:hAnsi="宋体" w:cs="宋体"/>
          <w:bCs/>
          <w:color w:val="auto"/>
          <w:highlight w:val="none"/>
        </w:rPr>
      </w:pPr>
      <w:r>
        <w:rPr>
          <w:rFonts w:hint="eastAsia" w:hAnsi="宋体" w:cs="宋体"/>
          <w:bCs/>
          <w:color w:val="auto"/>
          <w:highlight w:val="none"/>
        </w:rPr>
        <w:t>（1）投标产品的品牌、型号、配置；</w:t>
      </w:r>
    </w:p>
    <w:p w14:paraId="71B3A0F6">
      <w:pPr>
        <w:pStyle w:val="109"/>
        <w:ind w:firstLine="480"/>
        <w:rPr>
          <w:rFonts w:hAnsi="宋体" w:cs="宋体"/>
          <w:bCs/>
          <w:color w:val="auto"/>
          <w:highlight w:val="none"/>
        </w:rPr>
      </w:pPr>
      <w:r>
        <w:rPr>
          <w:rFonts w:hint="eastAsia" w:hAnsi="宋体" w:cs="宋体"/>
          <w:bCs/>
          <w:color w:val="auto"/>
          <w:highlight w:val="none"/>
        </w:rPr>
        <w:t>（2）投标产品本身的详细的技术指标和参数（应当尽可能提供检测报告、产品使用说</w:t>
      </w:r>
    </w:p>
    <w:p w14:paraId="304CC759">
      <w:pPr>
        <w:pStyle w:val="109"/>
        <w:ind w:firstLine="480"/>
        <w:rPr>
          <w:rFonts w:hAnsi="宋体" w:cs="宋体"/>
          <w:bCs/>
          <w:color w:val="auto"/>
          <w:highlight w:val="none"/>
        </w:rPr>
      </w:pPr>
      <w:r>
        <w:rPr>
          <w:rFonts w:hint="eastAsia" w:hAnsi="宋体" w:cs="宋体"/>
          <w:bCs/>
          <w:color w:val="auto"/>
          <w:highlight w:val="none"/>
        </w:rPr>
        <w:t>明书、采购人手册等材料予以佐证）；</w:t>
      </w:r>
    </w:p>
    <w:p w14:paraId="61DD78B4">
      <w:pPr>
        <w:pStyle w:val="109"/>
        <w:ind w:firstLine="480"/>
        <w:rPr>
          <w:rFonts w:hAnsi="宋体" w:cs="宋体"/>
          <w:bCs/>
          <w:color w:val="auto"/>
          <w:highlight w:val="none"/>
        </w:rPr>
      </w:pPr>
      <w:r>
        <w:rPr>
          <w:rFonts w:hint="eastAsia" w:hAnsi="宋体" w:cs="宋体"/>
          <w:bCs/>
          <w:color w:val="auto"/>
          <w:highlight w:val="none"/>
        </w:rPr>
        <w:t>（3）技术方案、项目实施方案；</w:t>
      </w:r>
    </w:p>
    <w:p w14:paraId="06E65ED5">
      <w:pPr>
        <w:pStyle w:val="109"/>
        <w:ind w:firstLine="480"/>
        <w:rPr>
          <w:rFonts w:hAnsi="宋体" w:cs="宋体"/>
          <w:bCs/>
          <w:color w:val="auto"/>
          <w:highlight w:val="none"/>
        </w:rPr>
      </w:pPr>
      <w:r>
        <w:rPr>
          <w:rFonts w:hint="eastAsia" w:hAnsi="宋体" w:cs="宋体"/>
          <w:bCs/>
          <w:color w:val="auto"/>
          <w:highlight w:val="none"/>
        </w:rPr>
        <w:t>（4）投标产品技术配置参数表；</w:t>
      </w:r>
    </w:p>
    <w:p w14:paraId="4F50BF73">
      <w:pPr>
        <w:pStyle w:val="109"/>
        <w:ind w:firstLine="480"/>
        <w:rPr>
          <w:rFonts w:hAnsi="宋体" w:cs="宋体"/>
          <w:bCs/>
          <w:color w:val="auto"/>
          <w:highlight w:val="none"/>
        </w:rPr>
      </w:pPr>
      <w:r>
        <w:rPr>
          <w:rFonts w:hint="eastAsia" w:hAnsi="宋体" w:cs="宋体"/>
          <w:bCs/>
          <w:color w:val="auto"/>
          <w:highlight w:val="none"/>
        </w:rPr>
        <w:t>（5）产品彩页资料或技术资料；</w:t>
      </w:r>
    </w:p>
    <w:p w14:paraId="31F3EDC3">
      <w:pPr>
        <w:pStyle w:val="109"/>
        <w:ind w:firstLine="480"/>
        <w:rPr>
          <w:rFonts w:hAnsi="宋体" w:cs="宋体"/>
          <w:bCs/>
          <w:color w:val="auto"/>
          <w:highlight w:val="none"/>
        </w:rPr>
      </w:pPr>
      <w:r>
        <w:rPr>
          <w:rFonts w:hint="eastAsia" w:hAnsi="宋体" w:cs="宋体"/>
          <w:bCs/>
          <w:color w:val="auto"/>
          <w:highlight w:val="none"/>
        </w:rPr>
        <w:t>（6）产品工作环境条件；</w:t>
      </w:r>
    </w:p>
    <w:p w14:paraId="3A5AADB5">
      <w:pPr>
        <w:pStyle w:val="109"/>
        <w:ind w:firstLine="480"/>
        <w:rPr>
          <w:rFonts w:hAnsi="宋体" w:cs="宋体"/>
          <w:bCs/>
          <w:color w:val="auto"/>
          <w:highlight w:val="none"/>
        </w:rPr>
      </w:pPr>
      <w:r>
        <w:rPr>
          <w:rFonts w:hint="eastAsia" w:hAnsi="宋体" w:cs="宋体"/>
          <w:bCs/>
          <w:color w:val="auto"/>
          <w:highlight w:val="none"/>
        </w:rPr>
        <w:t>（7）产品验收标准和验收方法；</w:t>
      </w:r>
    </w:p>
    <w:p w14:paraId="73658731">
      <w:pPr>
        <w:pStyle w:val="109"/>
        <w:ind w:firstLine="480"/>
        <w:rPr>
          <w:rFonts w:hAnsi="宋体" w:cs="宋体"/>
          <w:bCs/>
          <w:color w:val="auto"/>
          <w:highlight w:val="none"/>
        </w:rPr>
      </w:pPr>
      <w:r>
        <w:rPr>
          <w:rFonts w:hint="eastAsia" w:hAnsi="宋体" w:cs="宋体"/>
          <w:bCs/>
          <w:color w:val="auto"/>
          <w:highlight w:val="none"/>
        </w:rPr>
        <w:t>（8）产品验收清单（注明各部件的品名、数量、价格、规格型号和原产地或生产厂家）；</w:t>
      </w:r>
    </w:p>
    <w:p w14:paraId="322445EB">
      <w:pPr>
        <w:pStyle w:val="109"/>
        <w:ind w:firstLine="480"/>
        <w:rPr>
          <w:rFonts w:hAnsi="宋体" w:cs="宋体"/>
          <w:bCs/>
          <w:color w:val="auto"/>
          <w:highlight w:val="none"/>
        </w:rPr>
      </w:pPr>
      <w:r>
        <w:rPr>
          <w:rFonts w:hint="eastAsia" w:hAnsi="宋体" w:cs="宋体"/>
          <w:bCs/>
          <w:color w:val="auto"/>
          <w:highlight w:val="none"/>
        </w:rPr>
        <w:t>（9）投标人认为需要提供的其他文件和资料。</w:t>
      </w:r>
    </w:p>
    <w:p w14:paraId="40BB72E4">
      <w:pPr>
        <w:spacing w:line="360" w:lineRule="auto"/>
        <w:ind w:firstLine="460" w:firstLineChars="191"/>
        <w:rPr>
          <w:rFonts w:hint="eastAsia" w:ascii="宋体" w:hAnsi="宋体" w:cs="宋体"/>
          <w:color w:val="auto"/>
          <w:sz w:val="24"/>
          <w:highlight w:val="none"/>
        </w:rPr>
      </w:pPr>
      <w:r>
        <w:rPr>
          <w:rFonts w:hint="eastAsia" w:hAnsi="宋体" w:cs="宋体"/>
          <w:b/>
          <w:bCs w:val="0"/>
          <w:color w:val="auto"/>
          <w:highlight w:val="none"/>
        </w:rPr>
        <w:t>14.3 商务部分。</w:t>
      </w:r>
      <w:r>
        <w:rPr>
          <w:rFonts w:hint="eastAsia" w:ascii="宋体" w:hAnsi="宋体" w:cs="宋体"/>
          <w:color w:val="auto"/>
          <w:sz w:val="24"/>
          <w:highlight w:val="none"/>
        </w:rPr>
        <w:t>（不限于以下内容，投标人可根据公司情况制作投标文件。但需响应本次招标文件要求）</w:t>
      </w:r>
    </w:p>
    <w:p w14:paraId="5DE80D7E">
      <w:pPr>
        <w:spacing w:line="360" w:lineRule="auto"/>
        <w:ind w:firstLine="424" w:firstLineChars="177"/>
        <w:rPr>
          <w:rFonts w:hint="eastAsia" w:ascii="宋体" w:hAnsi="宋体" w:cs="宋体"/>
          <w:color w:val="auto"/>
          <w:sz w:val="24"/>
          <w:highlight w:val="none"/>
        </w:rPr>
      </w:pPr>
      <w:r>
        <w:rPr>
          <w:rFonts w:hint="eastAsia" w:ascii="宋体" w:hAnsi="宋体" w:cs="宋体"/>
          <w:color w:val="auto"/>
          <w:sz w:val="24"/>
          <w:highlight w:val="none"/>
        </w:rPr>
        <w:t>（1）投标函；</w:t>
      </w:r>
    </w:p>
    <w:p w14:paraId="314982F5">
      <w:pPr>
        <w:spacing w:line="360" w:lineRule="auto"/>
        <w:ind w:firstLine="424" w:firstLineChars="177"/>
        <w:rPr>
          <w:rFonts w:hint="eastAsia" w:ascii="宋体" w:hAnsi="宋体" w:cs="宋体"/>
          <w:color w:val="auto"/>
          <w:sz w:val="24"/>
          <w:highlight w:val="none"/>
        </w:rPr>
      </w:pPr>
      <w:r>
        <w:rPr>
          <w:rFonts w:hint="eastAsia" w:ascii="宋体" w:hAnsi="宋体" w:cs="宋体"/>
          <w:color w:val="auto"/>
          <w:sz w:val="24"/>
          <w:highlight w:val="none"/>
        </w:rPr>
        <w:t>（2）法定代表人授权委托书（法定代表人本人参与投标的提供法定代表人身份证明）；</w:t>
      </w:r>
    </w:p>
    <w:p w14:paraId="28EFD1DD">
      <w:pPr>
        <w:tabs>
          <w:tab w:val="left" w:pos="1134"/>
        </w:tabs>
        <w:spacing w:line="360" w:lineRule="auto"/>
        <w:ind w:left="426"/>
        <w:rPr>
          <w:rFonts w:hint="eastAsia" w:ascii="宋体" w:hAnsi="宋体" w:cs="宋体"/>
          <w:color w:val="auto"/>
          <w:sz w:val="24"/>
          <w:highlight w:val="none"/>
        </w:rPr>
      </w:pPr>
      <w:r>
        <w:rPr>
          <w:rFonts w:hint="eastAsia" w:ascii="宋体" w:hAnsi="宋体" w:cs="宋体"/>
          <w:color w:val="auto"/>
          <w:sz w:val="24"/>
          <w:highlight w:val="none"/>
        </w:rPr>
        <w:t>（3）承诺函；</w:t>
      </w:r>
    </w:p>
    <w:p w14:paraId="00477024">
      <w:pPr>
        <w:tabs>
          <w:tab w:val="left" w:pos="1134"/>
        </w:tabs>
        <w:spacing w:line="360" w:lineRule="auto"/>
        <w:ind w:left="426"/>
        <w:rPr>
          <w:rFonts w:hint="eastAsia" w:ascii="宋体" w:hAnsi="宋体" w:cs="宋体"/>
          <w:color w:val="auto"/>
          <w:sz w:val="24"/>
          <w:highlight w:val="none"/>
        </w:rPr>
      </w:pPr>
      <w:r>
        <w:rPr>
          <w:rFonts w:hint="eastAsia" w:ascii="宋体" w:hAnsi="宋体" w:cs="宋体"/>
          <w:color w:val="auto"/>
          <w:sz w:val="24"/>
          <w:highlight w:val="none"/>
        </w:rPr>
        <w:t>（4）开标一览表；</w:t>
      </w:r>
    </w:p>
    <w:p w14:paraId="2BF82B5A">
      <w:pPr>
        <w:tabs>
          <w:tab w:val="left" w:pos="1134"/>
        </w:tabs>
        <w:spacing w:line="360" w:lineRule="auto"/>
        <w:ind w:left="426"/>
        <w:rPr>
          <w:rFonts w:hint="eastAsia" w:ascii="宋体" w:hAnsi="宋体" w:cs="宋体"/>
          <w:color w:val="auto"/>
          <w:sz w:val="24"/>
          <w:highlight w:val="none"/>
        </w:rPr>
      </w:pPr>
      <w:r>
        <w:rPr>
          <w:rFonts w:hint="eastAsia" w:ascii="宋体" w:hAnsi="宋体" w:cs="宋体"/>
          <w:color w:val="auto"/>
          <w:sz w:val="24"/>
          <w:highlight w:val="none"/>
        </w:rPr>
        <w:t>（5）投标人基本情况表；</w:t>
      </w:r>
    </w:p>
    <w:p w14:paraId="480308DD">
      <w:pPr>
        <w:tabs>
          <w:tab w:val="left" w:pos="1134"/>
        </w:tabs>
        <w:spacing w:line="360" w:lineRule="auto"/>
        <w:ind w:left="426"/>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）投标人类似项目业绩一览表；</w:t>
      </w:r>
    </w:p>
    <w:p w14:paraId="23FDC6A3">
      <w:pPr>
        <w:tabs>
          <w:tab w:val="left" w:pos="1134"/>
        </w:tabs>
        <w:spacing w:line="360" w:lineRule="auto"/>
        <w:ind w:left="426"/>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（7）本项目参加</w:t>
      </w:r>
      <w:r>
        <w:rPr>
          <w:rFonts w:hint="eastAsia" w:ascii="宋体" w:hAnsi="宋体" w:cs="宋体"/>
          <w:color w:val="auto"/>
          <w:sz w:val="24"/>
          <w:highlight w:val="none"/>
          <w:lang w:val="en-US" w:eastAsia="zh-CN"/>
        </w:rPr>
        <w:t>采购活动</w:t>
      </w:r>
      <w:r>
        <w:rPr>
          <w:rFonts w:hint="eastAsia" w:ascii="宋体" w:hAnsi="宋体" w:eastAsia="宋体" w:cs="宋体"/>
          <w:color w:val="auto"/>
          <w:sz w:val="24"/>
          <w:highlight w:val="none"/>
          <w:lang w:val="en-US" w:eastAsia="zh-CN"/>
        </w:rPr>
        <w:t>的投标人在前三年内不得具有行贿犯罪记录的承诺；</w:t>
      </w:r>
    </w:p>
    <w:p w14:paraId="1E47174F">
      <w:pPr>
        <w:tabs>
          <w:tab w:val="left" w:pos="1134"/>
        </w:tabs>
        <w:spacing w:line="360" w:lineRule="auto"/>
        <w:ind w:left="426"/>
        <w:rPr>
          <w:rFonts w:hint="eastAsia" w:ascii="宋体" w:hAnsi="宋体" w:cs="宋体"/>
          <w:color w:val="auto"/>
          <w:sz w:val="24"/>
          <w:highlight w:val="none"/>
        </w:rPr>
      </w:pP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）近三年在经营活动中</w:t>
      </w:r>
      <w:r>
        <w:rPr>
          <w:rFonts w:hint="eastAsia" w:ascii="宋体" w:hAnsi="宋体" w:cs="宋体"/>
          <w:color w:val="auto"/>
          <w:sz w:val="24"/>
          <w:highlight w:val="none"/>
        </w:rPr>
        <w:t>没有重大违法记录的书面声明；</w:t>
      </w:r>
    </w:p>
    <w:p w14:paraId="48AA4B28">
      <w:pPr>
        <w:tabs>
          <w:tab w:val="left" w:pos="1134"/>
        </w:tabs>
        <w:spacing w:line="360" w:lineRule="auto"/>
        <w:ind w:firstLine="424" w:firstLineChars="177"/>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9</w:t>
      </w:r>
      <w:r>
        <w:rPr>
          <w:rFonts w:hint="eastAsia" w:ascii="宋体" w:hAnsi="宋体" w:cs="宋体"/>
          <w:color w:val="auto"/>
          <w:sz w:val="24"/>
          <w:highlight w:val="none"/>
        </w:rPr>
        <w:t>）投标人应当提供的资格、资质性文件及其他具有类似效力的要求的相关证明材料【详见招标文件第五章】；</w:t>
      </w:r>
    </w:p>
    <w:p w14:paraId="15987B6F">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ascii="宋体" w:hAnsi="宋体" w:cs="宋体"/>
          <w:color w:val="auto"/>
          <w:sz w:val="24"/>
          <w:highlight w:val="none"/>
        </w:rPr>
        <w:t>（</w:t>
      </w:r>
      <w:r>
        <w:rPr>
          <w:rFonts w:hint="eastAsia" w:ascii="宋体" w:hAnsi="宋体" w:cs="宋体"/>
          <w:color w:val="auto"/>
          <w:sz w:val="24"/>
          <w:highlight w:val="none"/>
          <w:lang w:val="en-US" w:eastAsia="zh-CN"/>
        </w:rPr>
        <w:t>10</w:t>
      </w:r>
      <w:r>
        <w:rPr>
          <w:rFonts w:hint="eastAsia" w:ascii="宋体" w:hAnsi="宋体" w:cs="宋体"/>
          <w:color w:val="auto"/>
          <w:sz w:val="24"/>
          <w:highlight w:val="none"/>
        </w:rPr>
        <w:t>）投标人认为对其投标有利的其他证明材料。</w:t>
      </w:r>
    </w:p>
    <w:p w14:paraId="50C9417D">
      <w:pPr>
        <w:pStyle w:val="109"/>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hAnsi="宋体" w:cs="宋体"/>
          <w:b w:val="0"/>
          <w:bCs/>
          <w:color w:val="auto"/>
          <w:highlight w:val="none"/>
        </w:rPr>
      </w:pPr>
      <w:r>
        <w:rPr>
          <w:rFonts w:hint="eastAsia" w:hAnsi="宋体" w:cs="宋体"/>
          <w:b/>
          <w:bCs w:val="0"/>
          <w:color w:val="auto"/>
          <w:highlight w:val="none"/>
        </w:rPr>
        <w:t>14.4售后服务。</w:t>
      </w:r>
      <w:r>
        <w:rPr>
          <w:rFonts w:hint="eastAsia" w:hAnsi="宋体" w:cs="宋体"/>
          <w:b w:val="0"/>
          <w:bCs/>
          <w:color w:val="auto"/>
          <w:highlight w:val="none"/>
        </w:rPr>
        <w:t xml:space="preserve">投标人按照招标文件中售后服务要求作出的积极响应和承诺。包括以下内容： </w:t>
      </w:r>
    </w:p>
    <w:p w14:paraId="3943E4B1">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（1）产品制造厂家或投标人设立的售后服务机构网点清单、服务电话和维修人员名单；</w:t>
      </w:r>
    </w:p>
    <w:p w14:paraId="0AEB739C">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（2）说明投标产品的保修时间、保修期内的保修内容与范围、维修响应时间等。分别提供产品制造厂家和投标人的服务承诺和保障措施；</w:t>
      </w:r>
    </w:p>
    <w:p w14:paraId="6717D182">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（3）培训措施：说明培训内容及培训的时间、地点、目标、培训人数、收费标准和办法；</w:t>
      </w:r>
    </w:p>
    <w:p w14:paraId="41CCCCA7">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（4）其他有利于用户的服务承诺。</w:t>
      </w:r>
    </w:p>
    <w:p w14:paraId="0BBA490A">
      <w:pPr>
        <w:pStyle w:val="109"/>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hAnsi="宋体" w:cs="宋体"/>
          <w:b w:val="0"/>
          <w:bCs/>
          <w:color w:val="auto"/>
          <w:highlight w:val="none"/>
        </w:rPr>
      </w:pPr>
      <w:r>
        <w:rPr>
          <w:rFonts w:hint="eastAsia" w:hAnsi="宋体" w:cs="宋体"/>
          <w:b/>
          <w:bCs w:val="0"/>
          <w:color w:val="auto"/>
          <w:highlight w:val="none"/>
        </w:rPr>
        <w:t>14.5其他部分。</w:t>
      </w:r>
      <w:r>
        <w:rPr>
          <w:rFonts w:hint="eastAsia" w:hAnsi="宋体" w:cs="宋体"/>
          <w:b w:val="0"/>
          <w:bCs/>
          <w:color w:val="auto"/>
          <w:highlight w:val="none"/>
        </w:rPr>
        <w:t>投标人按照招标文件要求作出的其他应答和承诺。</w:t>
      </w:r>
    </w:p>
    <w:p w14:paraId="2045C090">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15．投标文件格式</w:t>
      </w:r>
      <w:bookmarkEnd w:id="84"/>
      <w:bookmarkEnd w:id="85"/>
      <w:bookmarkEnd w:id="86"/>
    </w:p>
    <w:p w14:paraId="1FD955B8">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bookmarkStart w:id="88" w:name="_Toc183682360"/>
      <w:bookmarkStart w:id="89" w:name="_Toc183582223"/>
      <w:bookmarkStart w:id="90" w:name="_Toc217446050"/>
      <w:r>
        <w:rPr>
          <w:rFonts w:hint="eastAsia" w:hAnsi="宋体" w:cs="宋体"/>
          <w:b w:val="0"/>
          <w:bCs/>
          <w:color w:val="auto"/>
          <w:highlight w:val="none"/>
        </w:rPr>
        <w:t>15.1 投标人应执行招标文件第三章的规定要求。</w:t>
      </w:r>
    </w:p>
    <w:p w14:paraId="30BA66EA">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15.2 对于没有格式要求的投标文件由投标人自行编写。</w:t>
      </w:r>
    </w:p>
    <w:p w14:paraId="5CEEFF12">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16．投标保证金</w:t>
      </w:r>
      <w:bookmarkEnd w:id="88"/>
      <w:bookmarkEnd w:id="89"/>
      <w:bookmarkEnd w:id="90"/>
    </w:p>
    <w:p w14:paraId="313334E7">
      <w:pPr>
        <w:pStyle w:val="109"/>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hAnsi="宋体" w:cs="宋体"/>
          <w:b/>
          <w:bCs w:val="0"/>
          <w:color w:val="auto"/>
          <w:highlight w:val="none"/>
        </w:rPr>
      </w:pPr>
      <w:bookmarkStart w:id="91" w:name="_Toc183582224"/>
      <w:bookmarkStart w:id="92" w:name="_Toc217446051"/>
      <w:bookmarkStart w:id="93" w:name="_Toc183682361"/>
      <w:r>
        <w:rPr>
          <w:rFonts w:hint="eastAsia" w:hAnsi="宋体" w:cs="宋体"/>
          <w:b/>
          <w:bCs w:val="0"/>
          <w:color w:val="auto"/>
          <w:highlight w:val="none"/>
        </w:rPr>
        <w:t>本项目不收取投标保证金。</w:t>
      </w:r>
    </w:p>
    <w:p w14:paraId="5B71F3C6">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17．投标有效期</w:t>
      </w:r>
      <w:bookmarkEnd w:id="91"/>
      <w:bookmarkEnd w:id="92"/>
      <w:bookmarkEnd w:id="93"/>
      <w:r>
        <w:rPr>
          <w:rFonts w:hint="eastAsia" w:ascii="宋体" w:hAnsi="宋体"/>
          <w:b/>
          <w:bCs/>
          <w:color w:val="auto"/>
          <w:sz w:val="24"/>
          <w:highlight w:val="none"/>
          <w:lang w:eastAsia="zh-CN"/>
        </w:rPr>
        <w:t>（实质性要求）</w:t>
      </w:r>
    </w:p>
    <w:p w14:paraId="2AAC6199">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17.1投标有效期见投标人须知前附表。投标人投标文件中必须载明投标有效期，投标文件中载明的投标有效期可以长于招标文件规定的期限，但不得短于招标文件规定的期限。否则，其投标文件将作为无效投标处理。</w:t>
      </w:r>
    </w:p>
    <w:p w14:paraId="625D1BE7">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 xml:space="preserve"> 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609542B1">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0AD0E86">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94" w:name="_Toc217446052"/>
      <w:bookmarkStart w:id="95" w:name="_Toc183582225"/>
      <w:bookmarkStart w:id="96" w:name="_Toc183682362"/>
      <w:r>
        <w:rPr>
          <w:rFonts w:hint="eastAsia" w:ascii="宋体" w:hAnsi="宋体"/>
          <w:b/>
          <w:bCs/>
          <w:color w:val="auto"/>
          <w:sz w:val="24"/>
          <w:highlight w:val="none"/>
          <w:lang w:eastAsia="zh-CN"/>
        </w:rPr>
        <w:t>18．投标文件的印制和签署</w:t>
      </w:r>
      <w:bookmarkEnd w:id="94"/>
      <w:bookmarkEnd w:id="95"/>
      <w:bookmarkEnd w:id="96"/>
    </w:p>
    <w:p w14:paraId="4B4F28CD">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97" w:name="_Toc77400781"/>
      <w:bookmarkStart w:id="98" w:name="_Toc89075877"/>
      <w:bookmarkStart w:id="99" w:name="_Toc183582226"/>
      <w:bookmarkStart w:id="100" w:name="_Toc183682363"/>
      <w:bookmarkStart w:id="101" w:name="_Toc217446053"/>
      <w:r>
        <w:rPr>
          <w:rFonts w:hint="eastAsia" w:ascii="宋体" w:hAnsi="宋体"/>
          <w:b/>
          <w:bCs/>
          <w:color w:val="auto"/>
          <w:sz w:val="24"/>
          <w:highlight w:val="none"/>
          <w:lang w:val="en-US" w:eastAsia="zh-CN"/>
        </w:rPr>
        <w:t>18.</w:t>
      </w:r>
      <w:r>
        <w:rPr>
          <w:rFonts w:hint="eastAsia" w:ascii="宋体" w:hAnsi="宋体"/>
          <w:b/>
          <w:bCs/>
          <w:color w:val="auto"/>
          <w:sz w:val="24"/>
          <w:highlight w:val="none"/>
          <w:lang w:eastAsia="zh-CN"/>
        </w:rPr>
        <w:t>1.</w:t>
      </w:r>
      <w:r>
        <w:rPr>
          <w:rFonts w:hint="eastAsia" w:ascii="Times New Roman" w:hAnsi="宋体" w:eastAsia="宋体" w:cs="宋体"/>
          <w:b w:val="0"/>
          <w:bCs/>
          <w:color w:val="auto"/>
          <w:sz w:val="24"/>
          <w:szCs w:val="24"/>
          <w:highlight w:val="none"/>
          <w:lang w:val="en-US" w:eastAsia="zh-CN" w:bidi="ar-SA"/>
        </w:rPr>
        <w:t>投标文件按招标文件要求的格式进行制作、签字盖章扫描并上传，其中须包含资格性审查内容、其它响应性评审内容。</w:t>
      </w:r>
    </w:p>
    <w:p w14:paraId="052CBF00">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19. 投标文件的密封和标</w:t>
      </w:r>
      <w:bookmarkEnd w:id="97"/>
      <w:bookmarkEnd w:id="98"/>
      <w:bookmarkEnd w:id="99"/>
      <w:bookmarkEnd w:id="100"/>
      <w:r>
        <w:rPr>
          <w:rFonts w:hint="eastAsia" w:ascii="宋体" w:hAnsi="宋体"/>
          <w:b/>
          <w:bCs/>
          <w:color w:val="auto"/>
          <w:sz w:val="24"/>
          <w:highlight w:val="none"/>
          <w:lang w:eastAsia="zh-CN"/>
        </w:rPr>
        <w:t>注</w:t>
      </w:r>
      <w:bookmarkEnd w:id="101"/>
    </w:p>
    <w:p w14:paraId="2C4D8E84">
      <w:pPr>
        <w:keepNext w:val="0"/>
        <w:keepLines w:val="0"/>
        <w:pageBreakBefore w:val="0"/>
        <w:widowControl/>
        <w:kinsoku/>
        <w:wordWrap/>
        <w:overflowPunct/>
        <w:topLinePunct w:val="0"/>
        <w:autoSpaceDE/>
        <w:autoSpaceDN/>
        <w:bidi w:val="0"/>
        <w:adjustRightInd/>
        <w:snapToGrid/>
        <w:spacing w:line="360" w:lineRule="auto"/>
        <w:ind w:firstLine="240" w:firstLineChars="100"/>
        <w:textAlignment w:val="auto"/>
        <w:rPr>
          <w:rFonts w:hint="eastAsia" w:ascii="Times New Roman" w:hAnsi="宋体" w:eastAsia="宋体" w:cs="宋体"/>
          <w:b w:val="0"/>
          <w:bCs/>
          <w:color w:val="auto"/>
          <w:sz w:val="24"/>
          <w:szCs w:val="24"/>
          <w:highlight w:val="none"/>
          <w:lang w:val="en-US" w:eastAsia="zh-CN" w:bidi="ar-SA"/>
        </w:rPr>
      </w:pPr>
      <w:bookmarkStart w:id="102" w:name="_Toc217446054"/>
      <w:bookmarkStart w:id="103" w:name="_Toc183582227"/>
      <w:bookmarkStart w:id="104" w:name="_Toc183682364"/>
      <w:r>
        <w:rPr>
          <w:rFonts w:hint="eastAsia" w:ascii="Times New Roman" w:hAnsi="宋体" w:cs="宋体"/>
          <w:b w:val="0"/>
          <w:bCs/>
          <w:color w:val="auto"/>
          <w:sz w:val="24"/>
          <w:szCs w:val="24"/>
          <w:highlight w:val="none"/>
          <w:lang w:val="en-US" w:eastAsia="zh-CN" w:bidi="ar-SA"/>
        </w:rPr>
        <w:t>19.</w:t>
      </w:r>
      <w:r>
        <w:rPr>
          <w:rFonts w:hint="eastAsia" w:ascii="Times New Roman" w:hAnsi="宋体" w:eastAsia="宋体" w:cs="宋体"/>
          <w:b w:val="0"/>
          <w:bCs/>
          <w:color w:val="auto"/>
          <w:sz w:val="24"/>
          <w:szCs w:val="24"/>
          <w:highlight w:val="none"/>
          <w:lang w:val="en-US" w:eastAsia="zh-CN" w:bidi="ar-SA"/>
        </w:rPr>
        <w:t>1.投标文件按招标文件要求的格式进行制作、签字盖章扫描并上传，其中须包含资格性审查内容、其它响应性评审内容。投标人应使用CA证书对投标文件进行加密。（平台采用的CA证书是经国家权威机构认可的具备多种加密及安全认证的解决方案，投标文件一经加密后只有加密时使用的同一把CA或投标人制作电子投标文件时自行填写的密码才可以有效解密，因此请投标人有效保管CA证书，如因CA证书及投标人制作电子投标文件时自行填写的密码丢失导致投标人无法解密的情况，责任由投标人负责）</w:t>
      </w:r>
    </w:p>
    <w:p w14:paraId="509FF7B9">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20．</w:t>
      </w:r>
      <w:bookmarkEnd w:id="102"/>
      <w:bookmarkEnd w:id="103"/>
      <w:bookmarkEnd w:id="104"/>
      <w:r>
        <w:rPr>
          <w:rFonts w:hint="eastAsia" w:ascii="宋体" w:hAnsi="宋体"/>
          <w:b/>
          <w:bCs/>
          <w:color w:val="auto"/>
          <w:sz w:val="24"/>
          <w:highlight w:val="none"/>
          <w:lang w:eastAsia="zh-CN"/>
        </w:rPr>
        <w:t>投标文件的上传</w:t>
      </w:r>
    </w:p>
    <w:p w14:paraId="7A713160">
      <w:pPr>
        <w:widowControl/>
        <w:spacing w:after="0" w:line="360" w:lineRule="auto"/>
        <w:ind w:firstLine="422"/>
        <w:jc w:val="left"/>
        <w:outlineLvl w:val="1"/>
        <w:rPr>
          <w:rFonts w:hint="eastAsia" w:ascii="宋体" w:hAnsi="宋体"/>
          <w:b w:val="0"/>
          <w:bCs/>
          <w:color w:val="auto"/>
          <w:sz w:val="24"/>
          <w:highlight w:val="none"/>
        </w:rPr>
      </w:pPr>
      <w:r>
        <w:rPr>
          <w:rFonts w:hint="eastAsia" w:ascii="宋体" w:hAnsi="宋体"/>
          <w:b w:val="0"/>
          <w:bCs/>
          <w:color w:val="auto"/>
          <w:sz w:val="24"/>
          <w:highlight w:val="none"/>
          <w:lang w:val="en-US" w:eastAsia="zh-CN"/>
        </w:rPr>
        <w:t>20.</w:t>
      </w:r>
      <w:r>
        <w:rPr>
          <w:rFonts w:hint="eastAsia" w:ascii="宋体" w:hAnsi="宋体"/>
          <w:b w:val="0"/>
          <w:bCs/>
          <w:color w:val="auto"/>
          <w:sz w:val="24"/>
          <w:highlight w:val="none"/>
        </w:rPr>
        <w:t>1.投标人应按照投标文件格式制作投标文件，并制作成不可更改的PDF格式文件(PDF文件需加盖投标人鲜章：可打印盖章并扫描成PDF文件，或者直接通过联采招汇电子招标平台申请电子印章并在制作加密投标文件时直接进行电子盖章)。将制作好的PDF投标文件导入客户端（下载地址：</w:t>
      </w:r>
      <w:r>
        <w:rPr>
          <w:rFonts w:hint="eastAsia" w:ascii="宋体" w:hAnsi="宋体"/>
          <w:b w:val="0"/>
          <w:bCs/>
          <w:color w:val="auto"/>
          <w:sz w:val="24"/>
          <w:highlight w:val="none"/>
        </w:rPr>
        <w:fldChar w:fldCharType="begin"/>
      </w:r>
      <w:r>
        <w:rPr>
          <w:rFonts w:hint="eastAsia" w:ascii="宋体" w:hAnsi="宋体"/>
          <w:b w:val="0"/>
          <w:bCs/>
          <w:color w:val="auto"/>
          <w:sz w:val="24"/>
          <w:highlight w:val="none"/>
        </w:rPr>
        <w:instrText xml:space="preserve"> HYPERLINK "http://www.cdgusheng.com/cms/page-bid-client-download.html" </w:instrText>
      </w:r>
      <w:r>
        <w:rPr>
          <w:rFonts w:hint="eastAsia" w:ascii="宋体" w:hAnsi="宋体"/>
          <w:b w:val="0"/>
          <w:bCs/>
          <w:color w:val="auto"/>
          <w:sz w:val="24"/>
          <w:highlight w:val="none"/>
        </w:rPr>
        <w:fldChar w:fldCharType="separate"/>
      </w:r>
      <w:r>
        <w:rPr>
          <w:rFonts w:hint="eastAsia" w:ascii="宋体" w:hAnsi="宋体"/>
          <w:b w:val="0"/>
          <w:bCs/>
          <w:color w:val="auto"/>
          <w:sz w:val="24"/>
          <w:highlight w:val="none"/>
        </w:rPr>
        <w:t>http://www.cdgusheng.com/cms/page-bid-client-download.html</w:t>
      </w:r>
      <w:r>
        <w:rPr>
          <w:rFonts w:hint="eastAsia" w:ascii="宋体" w:hAnsi="宋体"/>
          <w:b w:val="0"/>
          <w:bCs/>
          <w:color w:val="auto"/>
          <w:sz w:val="24"/>
          <w:highlight w:val="none"/>
        </w:rPr>
        <w:fldChar w:fldCharType="end"/>
      </w:r>
      <w:r>
        <w:rPr>
          <w:rFonts w:hint="eastAsia" w:ascii="宋体" w:hAnsi="宋体"/>
          <w:b w:val="0"/>
          <w:bCs/>
          <w:color w:val="auto"/>
          <w:sz w:val="24"/>
          <w:highlight w:val="none"/>
        </w:rPr>
        <w:t>）制作加密的电子投标文件（.bfl后缀的文件）、上传递交至平台。（考虑到现行国家实际的网络速率及投标人所处区域网络的情况，为节约投标人上传的时间，建议商务分册、技术分册、价格分册各部分文件的大小请投标人尽量控制在每部分100MB以内，整份文件控制在120MB以内）。</w:t>
      </w:r>
    </w:p>
    <w:p w14:paraId="50691C5A">
      <w:pPr>
        <w:widowControl/>
        <w:spacing w:after="0" w:line="360" w:lineRule="auto"/>
        <w:ind w:firstLine="422"/>
        <w:jc w:val="left"/>
        <w:outlineLvl w:val="1"/>
        <w:rPr>
          <w:rFonts w:hint="eastAsia" w:ascii="宋体" w:hAnsi="宋体"/>
          <w:b w:val="0"/>
          <w:bCs/>
          <w:color w:val="auto"/>
          <w:sz w:val="24"/>
          <w:highlight w:val="none"/>
        </w:rPr>
      </w:pPr>
      <w:r>
        <w:rPr>
          <w:rFonts w:hint="eastAsia" w:ascii="宋体" w:hAnsi="宋体"/>
          <w:b w:val="0"/>
          <w:bCs/>
          <w:color w:val="auto"/>
          <w:sz w:val="24"/>
          <w:highlight w:val="none"/>
          <w:lang w:val="en-US" w:eastAsia="zh-CN"/>
        </w:rPr>
        <w:t>20.</w:t>
      </w:r>
      <w:r>
        <w:rPr>
          <w:rFonts w:hint="eastAsia" w:ascii="宋体" w:hAnsi="宋体"/>
          <w:b w:val="0"/>
          <w:bCs/>
          <w:color w:val="auto"/>
          <w:sz w:val="24"/>
          <w:highlight w:val="none"/>
        </w:rPr>
        <w:t>2.对excel表格等不可编辑成PDF的材料，若投标人需制作成为投标文件的一部分，可以附件形式上传至客户端进行加密。</w:t>
      </w:r>
    </w:p>
    <w:p w14:paraId="0A614F15">
      <w:pPr>
        <w:widowControl/>
        <w:spacing w:after="0" w:line="360" w:lineRule="auto"/>
        <w:ind w:firstLine="422"/>
        <w:jc w:val="left"/>
        <w:outlineLvl w:val="1"/>
        <w:rPr>
          <w:rFonts w:hint="eastAsia" w:ascii="宋体" w:hAnsi="宋体"/>
          <w:b w:val="0"/>
          <w:bCs/>
          <w:color w:val="auto"/>
          <w:sz w:val="24"/>
          <w:highlight w:val="none"/>
        </w:rPr>
      </w:pPr>
      <w:r>
        <w:rPr>
          <w:rFonts w:hint="eastAsia" w:ascii="宋体" w:hAnsi="宋体"/>
          <w:b w:val="0"/>
          <w:bCs/>
          <w:color w:val="auto"/>
          <w:sz w:val="24"/>
          <w:highlight w:val="none"/>
          <w:lang w:val="en-US" w:eastAsia="zh-CN"/>
        </w:rPr>
        <w:t>20.</w:t>
      </w:r>
      <w:r>
        <w:rPr>
          <w:rFonts w:hint="eastAsia" w:ascii="宋体" w:hAnsi="宋体"/>
          <w:b w:val="0"/>
          <w:bCs/>
          <w:color w:val="auto"/>
          <w:sz w:val="24"/>
          <w:highlight w:val="none"/>
        </w:rPr>
        <w:t>3.投标人联采招汇电子招标平台上上传、递交电子投标文件时，应注意</w:t>
      </w:r>
    </w:p>
    <w:p w14:paraId="30B7B557">
      <w:pPr>
        <w:widowControl/>
        <w:spacing w:after="0" w:line="360" w:lineRule="auto"/>
        <w:ind w:firstLine="422"/>
        <w:jc w:val="left"/>
        <w:outlineLvl w:val="1"/>
        <w:rPr>
          <w:rFonts w:hint="eastAsia" w:ascii="宋体" w:hAnsi="宋体"/>
          <w:b w:val="0"/>
          <w:bCs/>
          <w:color w:val="auto"/>
          <w:sz w:val="24"/>
          <w:highlight w:val="none"/>
        </w:rPr>
      </w:pPr>
      <w:r>
        <w:rPr>
          <w:rFonts w:hint="eastAsia" w:ascii="宋体" w:hAnsi="宋体"/>
          <w:b w:val="0"/>
          <w:bCs/>
          <w:color w:val="auto"/>
          <w:sz w:val="24"/>
          <w:highlight w:val="none"/>
        </w:rPr>
        <w:t>（1）投标人应在上传后查看提交结果，了解和确认电子投标文件的提交状态；上传成功后，可通过“模拟解密”验证能否正常解密。</w:t>
      </w:r>
    </w:p>
    <w:p w14:paraId="5722E475">
      <w:pPr>
        <w:widowControl/>
        <w:spacing w:after="0" w:line="360" w:lineRule="auto"/>
        <w:ind w:firstLine="422"/>
        <w:jc w:val="left"/>
        <w:outlineLvl w:val="1"/>
        <w:rPr>
          <w:rFonts w:hint="eastAsia" w:ascii="宋体" w:hAnsi="宋体"/>
          <w:b w:val="0"/>
          <w:bCs/>
          <w:color w:val="auto"/>
          <w:sz w:val="24"/>
          <w:highlight w:val="none"/>
        </w:rPr>
      </w:pPr>
      <w:r>
        <w:rPr>
          <w:rFonts w:hint="eastAsia" w:ascii="宋体" w:hAnsi="宋体"/>
          <w:b w:val="0"/>
          <w:bCs/>
          <w:color w:val="auto"/>
          <w:sz w:val="24"/>
          <w:highlight w:val="none"/>
        </w:rPr>
        <w:t>（2）对于电子投标操作不熟悉或自身电脑、网络的原因导致未在投标截止时间之前上传投标文件的，招标代理机构不负任何责任。建议投标人尽量在投标截止时间前48小时执行上传投标文件操作，在投标截止时间前一天确保投标文件上传成功，在上传文件时如遇到问题需要协助可联系平台服务人员。</w:t>
      </w:r>
    </w:p>
    <w:p w14:paraId="3F778678">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105" w:name="_Toc183682365"/>
      <w:bookmarkStart w:id="106" w:name="_Toc183582228"/>
      <w:bookmarkStart w:id="107" w:name="_Toc217446055"/>
      <w:r>
        <w:rPr>
          <w:rFonts w:hint="eastAsia" w:ascii="宋体" w:hAnsi="宋体"/>
          <w:b/>
          <w:bCs/>
          <w:color w:val="auto"/>
          <w:sz w:val="24"/>
          <w:highlight w:val="none"/>
          <w:lang w:eastAsia="zh-CN"/>
        </w:rPr>
        <w:t>21．投标文件的修改和撤</w:t>
      </w:r>
      <w:bookmarkEnd w:id="105"/>
      <w:bookmarkEnd w:id="106"/>
      <w:r>
        <w:rPr>
          <w:rFonts w:hint="eastAsia" w:ascii="宋体" w:hAnsi="宋体"/>
          <w:b/>
          <w:bCs/>
          <w:color w:val="auto"/>
          <w:sz w:val="24"/>
          <w:highlight w:val="none"/>
          <w:lang w:eastAsia="zh-CN"/>
        </w:rPr>
        <w:t>回</w:t>
      </w:r>
      <w:bookmarkEnd w:id="107"/>
    </w:p>
    <w:p w14:paraId="20563512">
      <w:pPr>
        <w:tabs>
          <w:tab w:val="left" w:pos="1095"/>
        </w:tabs>
        <w:spacing w:after="0" w:line="360" w:lineRule="auto"/>
        <w:ind w:firstLine="420"/>
        <w:rPr>
          <w:rFonts w:ascii="宋体" w:hAnsi="宋体"/>
          <w:color w:val="auto"/>
          <w:sz w:val="24"/>
          <w:highlight w:val="none"/>
        </w:rPr>
      </w:pPr>
      <w:bookmarkStart w:id="108" w:name="_Toc22907"/>
      <w:bookmarkStart w:id="109" w:name="_Toc22945"/>
      <w:bookmarkStart w:id="110" w:name="_Toc217446065"/>
      <w:bookmarkStart w:id="111" w:name="_Toc183582240"/>
      <w:bookmarkStart w:id="112" w:name="_Toc183682377"/>
      <w:r>
        <w:rPr>
          <w:rFonts w:hint="eastAsia" w:ascii="宋体" w:hAnsi="宋体"/>
          <w:color w:val="auto"/>
          <w:sz w:val="24"/>
          <w:highlight w:val="none"/>
          <w:lang w:val="en-US" w:eastAsia="zh-CN"/>
        </w:rPr>
        <w:t>21.</w:t>
      </w:r>
      <w:r>
        <w:rPr>
          <w:rFonts w:hint="eastAsia" w:ascii="宋体" w:hAnsi="宋体"/>
          <w:color w:val="auto"/>
          <w:sz w:val="24"/>
          <w:highlight w:val="none"/>
        </w:rPr>
        <w:t>1.</w:t>
      </w:r>
      <w:r>
        <w:rPr>
          <w:rFonts w:hint="eastAsia" w:ascii="宋体" w:hAnsi="宋体"/>
          <w:color w:val="auto"/>
          <w:sz w:val="24"/>
          <w:highlight w:val="none"/>
          <w:lang w:val="en-US" w:eastAsia="zh-CN"/>
        </w:rPr>
        <w:t>开标时间到达后，</w:t>
      </w:r>
      <w:r>
        <w:rPr>
          <w:rFonts w:hint="eastAsia" w:ascii="宋体" w:hAnsi="宋体"/>
          <w:color w:val="auto"/>
          <w:sz w:val="24"/>
          <w:highlight w:val="none"/>
        </w:rPr>
        <w:t>投标人</w:t>
      </w:r>
      <w:r>
        <w:rPr>
          <w:rFonts w:hint="eastAsia" w:ascii="宋体" w:hAnsi="宋体"/>
          <w:color w:val="auto"/>
          <w:sz w:val="24"/>
          <w:highlight w:val="none"/>
          <w:lang w:val="en-US" w:eastAsia="zh-CN"/>
        </w:rPr>
        <w:t>应按</w:t>
      </w:r>
      <w:r>
        <w:rPr>
          <w:rFonts w:hint="eastAsia" w:ascii="宋体" w:hAnsi="宋体" w:eastAsia="宋体"/>
          <w:bCs/>
          <w:color w:val="auto"/>
          <w:sz w:val="24"/>
          <w:highlight w:val="none"/>
          <w:lang w:val="en-US" w:eastAsia="zh-CN"/>
        </w:rPr>
        <w:t>平台中代理机构设定的解密时间内解密，逾期不解密的，按无效投标处理</w:t>
      </w:r>
      <w:r>
        <w:rPr>
          <w:rFonts w:hint="eastAsia" w:ascii="宋体" w:hAnsi="宋体"/>
          <w:color w:val="auto"/>
          <w:sz w:val="24"/>
          <w:highlight w:val="none"/>
        </w:rPr>
        <w:t>。</w:t>
      </w:r>
    </w:p>
    <w:p w14:paraId="636D3B9E">
      <w:pPr>
        <w:pStyle w:val="3"/>
        <w:keepLines w:val="0"/>
        <w:pageBreakBefore w:val="0"/>
        <w:kinsoku/>
        <w:overflowPunct/>
        <w:bidi w:val="0"/>
        <w:spacing w:line="360" w:lineRule="auto"/>
        <w:rPr>
          <w:rFonts w:hint="eastAsia"/>
          <w:color w:val="auto"/>
          <w:highlight w:val="none"/>
        </w:rPr>
      </w:pPr>
      <w:r>
        <w:rPr>
          <w:rFonts w:hint="eastAsia"/>
          <w:color w:val="auto"/>
          <w:highlight w:val="none"/>
        </w:rPr>
        <w:t>五、开标和中标</w:t>
      </w:r>
      <w:bookmarkEnd w:id="108"/>
      <w:bookmarkEnd w:id="109"/>
    </w:p>
    <w:p w14:paraId="1050D469">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113" w:name="_Toc183682369"/>
      <w:bookmarkStart w:id="114" w:name="_Toc183582232"/>
      <w:bookmarkStart w:id="115" w:name="_Toc217446057"/>
      <w:r>
        <w:rPr>
          <w:rFonts w:hint="eastAsia" w:ascii="宋体" w:hAnsi="宋体"/>
          <w:b/>
          <w:bCs/>
          <w:color w:val="auto"/>
          <w:sz w:val="24"/>
          <w:highlight w:val="none"/>
          <w:lang w:eastAsia="zh-CN"/>
        </w:rPr>
        <w:t>22．开标</w:t>
      </w:r>
      <w:bookmarkEnd w:id="113"/>
      <w:bookmarkEnd w:id="114"/>
      <w:bookmarkEnd w:id="115"/>
    </w:p>
    <w:p w14:paraId="3C1772B9">
      <w:pPr>
        <w:spacing w:after="0" w:line="360" w:lineRule="auto"/>
        <w:ind w:firstLine="420"/>
        <w:rPr>
          <w:rFonts w:hint="eastAsia" w:ascii="宋体" w:hAnsi="宋体"/>
          <w:color w:val="auto"/>
          <w:sz w:val="24"/>
          <w:highlight w:val="none"/>
        </w:rPr>
      </w:pPr>
      <w:bookmarkStart w:id="116" w:name="_Toc217446058"/>
      <w:r>
        <w:rPr>
          <w:rFonts w:hint="eastAsia" w:ascii="宋体" w:hAnsi="宋体"/>
          <w:color w:val="auto"/>
          <w:sz w:val="24"/>
          <w:highlight w:val="none"/>
        </w:rPr>
        <w:t>（1）招标代理机构在招标公告中规定的日期、时间和地点组织公开开标。</w:t>
      </w:r>
    </w:p>
    <w:p w14:paraId="31739BA0">
      <w:pPr>
        <w:spacing w:after="0" w:line="360" w:lineRule="auto"/>
        <w:ind w:firstLine="420"/>
        <w:rPr>
          <w:rFonts w:hint="eastAsia" w:ascii="宋体" w:hAnsi="宋体"/>
          <w:color w:val="auto"/>
          <w:sz w:val="24"/>
          <w:highlight w:val="none"/>
        </w:rPr>
      </w:pPr>
      <w:r>
        <w:rPr>
          <w:rFonts w:hint="eastAsia" w:ascii="宋体" w:hAnsi="宋体"/>
          <w:color w:val="auto"/>
          <w:sz w:val="24"/>
          <w:highlight w:val="none"/>
        </w:rPr>
        <w:t>（2）递交了投标文件的投标人登录</w:t>
      </w:r>
      <w:r>
        <w:rPr>
          <w:rFonts w:hint="eastAsia" w:ascii="宋体" w:hAnsi="宋体"/>
          <w:b w:val="0"/>
          <w:bCs/>
          <w:color w:val="auto"/>
          <w:sz w:val="24"/>
          <w:highlight w:val="none"/>
        </w:rPr>
        <w:t>联采招汇电子招标平台</w:t>
      </w:r>
      <w:r>
        <w:rPr>
          <w:rFonts w:hint="eastAsia" w:ascii="宋体" w:hAnsi="宋体"/>
          <w:color w:val="auto"/>
          <w:sz w:val="24"/>
          <w:highlight w:val="none"/>
        </w:rPr>
        <w:t>网上开标大厅，投标截止时间到达后，招标代理机构将确认开标。此后，对投标文件进行解密。投标文件必须在规定时间内进行解密。</w:t>
      </w:r>
    </w:p>
    <w:p w14:paraId="19673D7B">
      <w:pPr>
        <w:spacing w:after="0" w:line="360" w:lineRule="auto"/>
        <w:ind w:firstLine="420"/>
        <w:rPr>
          <w:rFonts w:hint="eastAsia" w:ascii="宋体" w:hAnsi="宋体"/>
          <w:color w:val="auto"/>
          <w:sz w:val="24"/>
          <w:highlight w:val="none"/>
        </w:rPr>
      </w:pPr>
      <w:r>
        <w:rPr>
          <w:rFonts w:hint="eastAsia" w:ascii="宋体" w:hAnsi="宋体"/>
          <w:color w:val="auto"/>
          <w:sz w:val="24"/>
          <w:highlight w:val="none"/>
        </w:rPr>
        <w:t>（3）在签名阶段，投标人可自行下载开标一览表。</w:t>
      </w:r>
    </w:p>
    <w:p w14:paraId="7640973F">
      <w:pPr>
        <w:spacing w:after="0" w:line="360" w:lineRule="auto"/>
        <w:ind w:firstLine="420"/>
        <w:rPr>
          <w:rFonts w:hint="eastAsia" w:ascii="宋体" w:hAnsi="宋体"/>
          <w:b/>
          <w:bCs/>
          <w:color w:val="auto"/>
          <w:sz w:val="24"/>
          <w:highlight w:val="none"/>
          <w:lang w:eastAsia="zh-CN"/>
        </w:rPr>
      </w:pPr>
      <w:r>
        <w:rPr>
          <w:rFonts w:hint="eastAsia" w:ascii="宋体" w:hAnsi="宋体"/>
          <w:color w:val="auto"/>
          <w:sz w:val="24"/>
          <w:highlight w:val="none"/>
        </w:rPr>
        <w:t>（4）若开标时出现网络故障或技术故障等除投标人之外的因素，影响招投标活动的，招标代理机构有权采取措施如延期等，以保障招投标活动的公开、公平和公正，投标人不得对此提出异议。</w:t>
      </w:r>
    </w:p>
    <w:p w14:paraId="5A9CF243">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23. 开标程序</w:t>
      </w:r>
      <w:bookmarkEnd w:id="116"/>
    </w:p>
    <w:p w14:paraId="09426068">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投标截止时间后，通过交易系统“开标/开启大厅”网上开标，在线解密投标文件。</w:t>
      </w:r>
    </w:p>
    <w:bookmarkEnd w:id="110"/>
    <w:bookmarkEnd w:id="111"/>
    <w:bookmarkEnd w:id="112"/>
    <w:p w14:paraId="22CCDEFE">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117" w:name="_Toc183682375"/>
      <w:bookmarkStart w:id="118" w:name="_Toc183582238"/>
      <w:bookmarkStart w:id="119" w:name="_Toc217446063"/>
      <w:r>
        <w:rPr>
          <w:rFonts w:hint="eastAsia" w:ascii="宋体" w:hAnsi="宋体"/>
          <w:b/>
          <w:bCs/>
          <w:color w:val="auto"/>
          <w:sz w:val="24"/>
          <w:highlight w:val="none"/>
          <w:lang w:eastAsia="zh-CN"/>
        </w:rPr>
        <w:t>24. 开评标过程存档</w:t>
      </w:r>
    </w:p>
    <w:p w14:paraId="1746A7BA">
      <w:pPr>
        <w:keepLines w:val="0"/>
        <w:pageBreakBefore w:val="0"/>
        <w:kinsoku/>
        <w:overflowPunct/>
        <w:bidi w:val="0"/>
        <w:spacing w:before="120" w:beforeLines="50" w:line="360" w:lineRule="auto"/>
        <w:ind w:firstLine="480" w:firstLineChars="200"/>
        <w:rPr>
          <w:rFonts w:hAnsi="宋体"/>
          <w:color w:val="auto"/>
          <w:highlight w:val="none"/>
        </w:rPr>
      </w:pPr>
      <w:r>
        <w:rPr>
          <w:rFonts w:hint="eastAsia" w:hAnsi="宋体"/>
          <w:color w:val="auto"/>
          <w:highlight w:val="none"/>
        </w:rPr>
        <w:t>开标和评标过程进行全过程电子监控，并将电子监控资料存储介质留存归档。</w:t>
      </w:r>
    </w:p>
    <w:p w14:paraId="110C8EDC">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25. 评标情况公告</w:t>
      </w:r>
    </w:p>
    <w:p w14:paraId="4EAB4D8E">
      <w:pPr>
        <w:keepLines w:val="0"/>
        <w:pageBreakBefore w:val="0"/>
        <w:kinsoku/>
        <w:overflowPunct/>
        <w:bidi w:val="0"/>
        <w:spacing w:before="120" w:beforeLines="50" w:line="360" w:lineRule="auto"/>
        <w:ind w:firstLine="480" w:firstLineChars="200"/>
        <w:rPr>
          <w:rFonts w:hint="eastAsia" w:hAnsi="宋体"/>
          <w:color w:val="auto"/>
          <w:highlight w:val="none"/>
        </w:rPr>
      </w:pPr>
      <w:r>
        <w:rPr>
          <w:rFonts w:hint="eastAsia" w:hAnsi="宋体"/>
          <w:color w:val="auto"/>
          <w:highlight w:val="none"/>
        </w:rPr>
        <w:t>所</w:t>
      </w:r>
      <w:r>
        <w:rPr>
          <w:rFonts w:hint="eastAsia" w:hAnsi="宋体"/>
          <w:color w:val="auto"/>
          <w:highlight w:val="none"/>
          <w:lang w:val="en-US" w:eastAsia="zh-CN"/>
        </w:rPr>
        <w:t>有供应商评标结果将在“中国政府采购网”上采购结果公告栏中予以公告。</w:t>
      </w:r>
    </w:p>
    <w:p w14:paraId="6B0389A9">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26. 中标通知</w:t>
      </w:r>
      <w:bookmarkEnd w:id="117"/>
      <w:bookmarkEnd w:id="118"/>
      <w:r>
        <w:rPr>
          <w:rFonts w:hint="eastAsia" w:ascii="宋体" w:hAnsi="宋体"/>
          <w:b/>
          <w:bCs/>
          <w:color w:val="auto"/>
          <w:sz w:val="24"/>
          <w:highlight w:val="none"/>
          <w:lang w:eastAsia="zh-CN"/>
        </w:rPr>
        <w:t>书</w:t>
      </w:r>
      <w:bookmarkEnd w:id="119"/>
    </w:p>
    <w:p w14:paraId="41C40576">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26.1 中标通知书为签订</w:t>
      </w:r>
      <w:r>
        <w:rPr>
          <w:rFonts w:hint="eastAsia" w:hAnsi="宋体" w:cs="宋体"/>
          <w:b w:val="0"/>
          <w:bCs/>
          <w:color w:val="auto"/>
          <w:highlight w:val="none"/>
          <w:lang w:eastAsia="zh-CN"/>
        </w:rPr>
        <w:t>采购合同</w:t>
      </w:r>
      <w:r>
        <w:rPr>
          <w:rFonts w:hint="eastAsia" w:hAnsi="宋体" w:cs="宋体"/>
          <w:b w:val="0"/>
          <w:bCs/>
          <w:color w:val="auto"/>
          <w:highlight w:val="none"/>
        </w:rPr>
        <w:t>的依据之一，是合同的有效组成部分。</w:t>
      </w:r>
    </w:p>
    <w:p w14:paraId="41B2B26B">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26.2 中标通知书对采购人和中标人均具有法律效力。中标通知书发出后，采购人改变中标结果，或者中标人无正当理由放弃中标的，应当承担相应的法律责任。</w:t>
      </w:r>
    </w:p>
    <w:p w14:paraId="57FC3F94">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26.3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08C4BE6B">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26.4中标公告发出后，</w:t>
      </w:r>
      <w:r>
        <w:rPr>
          <w:rFonts w:hint="eastAsia" w:hAnsi="宋体" w:cs="宋体"/>
          <w:b w:val="0"/>
          <w:bCs/>
          <w:color w:val="auto"/>
          <w:highlight w:val="none"/>
          <w:lang w:eastAsia="zh-CN"/>
        </w:rPr>
        <w:t>中标人</w:t>
      </w:r>
      <w:r>
        <w:rPr>
          <w:rFonts w:hint="eastAsia" w:hAnsi="宋体" w:cs="宋体"/>
          <w:b w:val="0"/>
          <w:bCs/>
          <w:color w:val="auto"/>
          <w:highlight w:val="none"/>
        </w:rPr>
        <w:t>自行领取中标通知书的，可凭有效身份证明证件（单位介绍信和个人身份证）到采购代理机构处领取中标通知书。</w:t>
      </w:r>
    </w:p>
    <w:p w14:paraId="1F7742EF">
      <w:pPr>
        <w:pStyle w:val="3"/>
        <w:keepLines w:val="0"/>
        <w:pageBreakBefore w:val="0"/>
        <w:kinsoku/>
        <w:overflowPunct/>
        <w:bidi w:val="0"/>
        <w:spacing w:line="360" w:lineRule="auto"/>
        <w:rPr>
          <w:rFonts w:hint="eastAsia"/>
          <w:color w:val="auto"/>
          <w:highlight w:val="none"/>
        </w:rPr>
      </w:pPr>
      <w:r>
        <w:rPr>
          <w:rFonts w:hint="eastAsia"/>
          <w:color w:val="auto"/>
          <w:highlight w:val="none"/>
        </w:rPr>
        <w:t>六、签订及履行合同和验收</w:t>
      </w:r>
    </w:p>
    <w:p w14:paraId="1CBD94B9">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27. 签订合同</w:t>
      </w:r>
    </w:p>
    <w:p w14:paraId="35FD94FA">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27.1 中标人应在中标通知书发出之日起三十日内与采购人签订采购合同。由于中标人的原因逾期未与采购人签订采购合同的，将视为放弃中标，取消其中标资格并将按相关规定进行处理。</w:t>
      </w:r>
    </w:p>
    <w:p w14:paraId="4A15F427">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27.2 采购人不得向中标人提出任何不合理的要求，作为签订合同的条件，不得与中标人私下订立背离合同实质性内容的任何协议，所签订的合同不得对招标文件和中标人投标文件确定的事项进行修改。</w:t>
      </w:r>
    </w:p>
    <w:p w14:paraId="735151A1">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27.3中标人拒绝或因不可抗力原因不能履行采购合同或放弃中标的，采购人可以按照评标报告推荐的中标候选人名单排序，确定下一候选人为中标人，以此类推。也可以重新开展</w:t>
      </w:r>
      <w:r>
        <w:rPr>
          <w:rFonts w:hint="eastAsia" w:hAnsi="宋体" w:cs="宋体"/>
          <w:b w:val="0"/>
          <w:bCs/>
          <w:color w:val="auto"/>
          <w:highlight w:val="none"/>
          <w:lang w:eastAsia="zh-CN"/>
        </w:rPr>
        <w:t>采购活动</w:t>
      </w:r>
      <w:r>
        <w:rPr>
          <w:rFonts w:hint="eastAsia" w:hAnsi="宋体" w:cs="宋体"/>
          <w:b w:val="0"/>
          <w:bCs/>
          <w:color w:val="auto"/>
          <w:highlight w:val="none"/>
        </w:rPr>
        <w:t>。</w:t>
      </w:r>
    </w:p>
    <w:p w14:paraId="05CEF777">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27.4 中标人在合同签订之后三个工作日内，将签订的合同（一份）送采购代理机构财务科室。签订的合同编号按照本项目中标通知书上的编号执行。</w:t>
      </w:r>
    </w:p>
    <w:p w14:paraId="46AFDB1A">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27.5中标人在合同履行验收后三个工作日内，将采购人出具的验收书（一份）送采购代理机构财务科室。</w:t>
      </w:r>
    </w:p>
    <w:p w14:paraId="5B6C8622">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120" w:name="_Toc217446066"/>
      <w:r>
        <w:rPr>
          <w:rFonts w:hint="eastAsia" w:ascii="宋体" w:hAnsi="宋体"/>
          <w:b/>
          <w:bCs/>
          <w:color w:val="auto"/>
          <w:sz w:val="24"/>
          <w:highlight w:val="none"/>
          <w:lang w:eastAsia="zh-CN"/>
        </w:rPr>
        <w:t>28. 合同分包</w:t>
      </w:r>
      <w:bookmarkEnd w:id="120"/>
      <w:r>
        <w:rPr>
          <w:rFonts w:hint="eastAsia" w:ascii="宋体" w:hAnsi="宋体"/>
          <w:b/>
          <w:bCs/>
          <w:color w:val="auto"/>
          <w:sz w:val="24"/>
          <w:highlight w:val="none"/>
          <w:lang w:eastAsia="zh-CN"/>
        </w:rPr>
        <w:t>（实质性要求）</w:t>
      </w:r>
    </w:p>
    <w:p w14:paraId="607AB917">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bookmarkStart w:id="121" w:name="_Toc217446067"/>
      <w:r>
        <w:rPr>
          <w:rFonts w:hint="eastAsia" w:hAnsi="宋体" w:cs="宋体"/>
          <w:b w:val="0"/>
          <w:bCs/>
          <w:color w:val="auto"/>
          <w:highlight w:val="none"/>
        </w:rPr>
        <w:t>28.1 经采购人同意，中标人可以依法采取分包方式履行合同。这种要求应当在合同签订之前征得采购人同意，并且分包供应商履行的分包项目的品牌、规格型号及技术要求等，必须与中标的一致。</w:t>
      </w:r>
    </w:p>
    <w:p w14:paraId="34D9CF3E">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分包履行合同的部分应当为采购项目的非主体、非关键性工作，不属于中标人的主要合同义务。投标人根据招标文件的规定和采购项目的实际情况，拟在中标后将中标项目的非主体、非关键性工作分包的，应当在投标文件中载明分包承担主体，分包承担主体应当具备相应资质条件且不得再次分包。</w:t>
      </w:r>
    </w:p>
    <w:p w14:paraId="6AF5C9C3">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28.2 采购合同实行分包履行的，中标人就采购项目和分包项目向采购人负责，分包供应商就分包项目承担责任。</w:t>
      </w:r>
    </w:p>
    <w:bookmarkEnd w:id="121"/>
    <w:p w14:paraId="668EC357">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bookmarkStart w:id="122" w:name="_Toc217446069"/>
      <w:r>
        <w:rPr>
          <w:rFonts w:hint="eastAsia" w:hAnsi="宋体" w:cs="宋体"/>
          <w:b w:val="0"/>
          <w:bCs/>
          <w:color w:val="auto"/>
          <w:highlight w:val="none"/>
        </w:rPr>
        <w:t>28.3 中小企业根据《政府采购促进中小企业发展管理办法》（财库〔2020〕46号）的规定依据本办法规定享受扶持政策获得</w:t>
      </w:r>
      <w:r>
        <w:rPr>
          <w:rFonts w:hint="eastAsia" w:hAnsi="宋体" w:cs="宋体"/>
          <w:b w:val="0"/>
          <w:bCs/>
          <w:color w:val="auto"/>
          <w:highlight w:val="none"/>
          <w:lang w:eastAsia="zh-CN"/>
        </w:rPr>
        <w:t>采购合同</w:t>
      </w:r>
      <w:r>
        <w:rPr>
          <w:rFonts w:hint="eastAsia" w:hAnsi="宋体" w:cs="宋体"/>
          <w:b w:val="0"/>
          <w:bCs/>
          <w:color w:val="auto"/>
          <w:highlight w:val="none"/>
        </w:rPr>
        <w:t>的，小微企业不得将合同分包给大中型企业，中型企业不得将合同分包给大型企业。</w:t>
      </w:r>
    </w:p>
    <w:p w14:paraId="7518BE31">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29.合同转包（实质性要求）</w:t>
      </w:r>
    </w:p>
    <w:p w14:paraId="6C25B69B">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本采购项目严禁中标人将任何</w:t>
      </w:r>
      <w:r>
        <w:rPr>
          <w:rFonts w:hint="eastAsia" w:hAnsi="宋体" w:cs="宋体"/>
          <w:b w:val="0"/>
          <w:bCs/>
          <w:color w:val="auto"/>
          <w:highlight w:val="none"/>
          <w:lang w:eastAsia="zh-CN"/>
        </w:rPr>
        <w:t>采购合同</w:t>
      </w:r>
      <w:r>
        <w:rPr>
          <w:rFonts w:hint="eastAsia" w:hAnsi="宋体" w:cs="宋体"/>
          <w:b w:val="0"/>
          <w:bCs/>
          <w:color w:val="auto"/>
          <w:highlight w:val="none"/>
        </w:rPr>
        <w:t>义务转包。本项目所称转包，是指中标人将</w:t>
      </w:r>
      <w:r>
        <w:rPr>
          <w:rFonts w:hint="eastAsia" w:hAnsi="宋体" w:cs="宋体"/>
          <w:b w:val="0"/>
          <w:bCs/>
          <w:color w:val="auto"/>
          <w:highlight w:val="none"/>
          <w:lang w:eastAsia="zh-CN"/>
        </w:rPr>
        <w:t>采购合同</w:t>
      </w:r>
      <w:r>
        <w:rPr>
          <w:rFonts w:hint="eastAsia" w:hAnsi="宋体" w:cs="宋体"/>
          <w:b w:val="0"/>
          <w:bCs/>
          <w:color w:val="auto"/>
          <w:highlight w:val="none"/>
        </w:rPr>
        <w:t>义务转让给第三人，并退出现有</w:t>
      </w:r>
      <w:r>
        <w:rPr>
          <w:rFonts w:hint="eastAsia" w:hAnsi="宋体" w:cs="宋体"/>
          <w:b w:val="0"/>
          <w:bCs/>
          <w:color w:val="auto"/>
          <w:highlight w:val="none"/>
          <w:lang w:eastAsia="zh-CN"/>
        </w:rPr>
        <w:t>采购合同</w:t>
      </w:r>
      <w:r>
        <w:rPr>
          <w:rFonts w:hint="eastAsia" w:hAnsi="宋体" w:cs="宋体"/>
          <w:b w:val="0"/>
          <w:bCs/>
          <w:color w:val="auto"/>
          <w:highlight w:val="none"/>
        </w:rPr>
        <w:t>当事人双方的权利义务关系，受让人（即第三人）成为</w:t>
      </w:r>
      <w:r>
        <w:rPr>
          <w:rFonts w:hint="eastAsia" w:hAnsi="宋体" w:cs="宋体"/>
          <w:b w:val="0"/>
          <w:bCs/>
          <w:color w:val="auto"/>
          <w:highlight w:val="none"/>
          <w:lang w:eastAsia="zh-CN"/>
        </w:rPr>
        <w:t>采购合同</w:t>
      </w:r>
      <w:r>
        <w:rPr>
          <w:rFonts w:hint="eastAsia" w:hAnsi="宋体" w:cs="宋体"/>
          <w:b w:val="0"/>
          <w:bCs/>
          <w:color w:val="auto"/>
          <w:highlight w:val="none"/>
        </w:rPr>
        <w:t>的另一方当事人的行为。</w:t>
      </w:r>
    </w:p>
    <w:p w14:paraId="7A0580FA">
      <w:pPr>
        <w:pStyle w:val="109"/>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s="宋体"/>
          <w:b w:val="0"/>
          <w:bCs/>
          <w:color w:val="auto"/>
          <w:highlight w:val="none"/>
        </w:rPr>
      </w:pPr>
      <w:r>
        <w:rPr>
          <w:rFonts w:hint="eastAsia" w:hAnsi="宋体" w:cs="宋体"/>
          <w:b w:val="0"/>
          <w:bCs/>
          <w:color w:val="auto"/>
          <w:highlight w:val="none"/>
        </w:rPr>
        <w:t>中标人转包的，视同拒绝履行</w:t>
      </w:r>
      <w:r>
        <w:rPr>
          <w:rFonts w:hint="eastAsia" w:hAnsi="宋体" w:cs="宋体"/>
          <w:b w:val="0"/>
          <w:bCs/>
          <w:color w:val="auto"/>
          <w:highlight w:val="none"/>
          <w:lang w:eastAsia="zh-CN"/>
        </w:rPr>
        <w:t>采购合同</w:t>
      </w:r>
      <w:r>
        <w:rPr>
          <w:rFonts w:hint="eastAsia" w:hAnsi="宋体" w:cs="宋体"/>
          <w:b w:val="0"/>
          <w:bCs/>
          <w:color w:val="auto"/>
          <w:highlight w:val="none"/>
        </w:rPr>
        <w:t>义务，将依法追究法律责任。</w:t>
      </w:r>
    </w:p>
    <w:p w14:paraId="2B46089C">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30. 补充合同</w:t>
      </w:r>
    </w:p>
    <w:p w14:paraId="6A426BF3">
      <w:pPr>
        <w:keepLines w:val="0"/>
        <w:pageBreakBefore w:val="0"/>
        <w:kinsoku/>
        <w:overflowPunct/>
        <w:bidi w:val="0"/>
        <w:adjustRightInd w:val="0"/>
        <w:snapToGrid w:val="0"/>
        <w:spacing w:line="360" w:lineRule="auto"/>
        <w:ind w:firstLine="540" w:firstLineChars="225"/>
        <w:rPr>
          <w:rFonts w:hAnsi="宋体"/>
          <w:color w:val="auto"/>
          <w:highlight w:val="none"/>
        </w:rPr>
      </w:pPr>
      <w:r>
        <w:rPr>
          <w:rFonts w:hint="eastAsia" w:hAnsi="宋体"/>
          <w:color w:val="auto"/>
          <w:highlight w:val="none"/>
        </w:rPr>
        <w:t>采购合同履行过程中，采购人需要追加与合同标的相同的货物或者服务的，在不改变合同其他条款的前提下，可以与</w:t>
      </w:r>
      <w:r>
        <w:rPr>
          <w:rFonts w:hint="eastAsia" w:hAnsi="宋体"/>
          <w:color w:val="auto"/>
          <w:highlight w:val="none"/>
          <w:lang w:eastAsia="zh-CN"/>
        </w:rPr>
        <w:t>中标人</w:t>
      </w:r>
      <w:r>
        <w:rPr>
          <w:rFonts w:hint="eastAsia" w:hAnsi="宋体"/>
          <w:color w:val="auto"/>
          <w:highlight w:val="none"/>
        </w:rPr>
        <w:t>协商签订补充合同，但所有补充合同的采购金额不得超过原合同采购金额的百分之十，该补充合同应当在原</w:t>
      </w:r>
      <w:r>
        <w:rPr>
          <w:rFonts w:hint="eastAsia" w:hAnsi="宋体"/>
          <w:color w:val="auto"/>
          <w:highlight w:val="none"/>
          <w:lang w:eastAsia="zh-CN"/>
        </w:rPr>
        <w:t>采购合同</w:t>
      </w:r>
      <w:r>
        <w:rPr>
          <w:rFonts w:hint="eastAsia" w:hAnsi="宋体"/>
          <w:color w:val="auto"/>
          <w:highlight w:val="none"/>
        </w:rPr>
        <w:t>履行过程中，不得在原</w:t>
      </w:r>
      <w:r>
        <w:rPr>
          <w:rFonts w:hint="eastAsia" w:hAnsi="宋体"/>
          <w:color w:val="auto"/>
          <w:highlight w:val="none"/>
          <w:lang w:eastAsia="zh-CN"/>
        </w:rPr>
        <w:t>采购合同</w:t>
      </w:r>
      <w:r>
        <w:rPr>
          <w:rFonts w:hint="eastAsia" w:hAnsi="宋体"/>
          <w:color w:val="auto"/>
          <w:highlight w:val="none"/>
        </w:rPr>
        <w:t>履行结束后，且采购货物、工程和服务的名称、价格、履约方式、验收标准等必须与原</w:t>
      </w:r>
      <w:r>
        <w:rPr>
          <w:rFonts w:hint="eastAsia" w:hAnsi="宋体"/>
          <w:color w:val="auto"/>
          <w:highlight w:val="none"/>
          <w:lang w:eastAsia="zh-CN"/>
        </w:rPr>
        <w:t>采购合同</w:t>
      </w:r>
      <w:r>
        <w:rPr>
          <w:rFonts w:hint="eastAsia" w:hAnsi="宋体"/>
          <w:color w:val="auto"/>
          <w:highlight w:val="none"/>
        </w:rPr>
        <w:t>一致。</w:t>
      </w:r>
    </w:p>
    <w:p w14:paraId="5F7BCF93">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123" w:name="_Toc308164812"/>
      <w:r>
        <w:rPr>
          <w:rFonts w:hint="eastAsia" w:ascii="宋体" w:hAnsi="宋体"/>
          <w:b/>
          <w:bCs/>
          <w:color w:val="auto"/>
          <w:sz w:val="24"/>
          <w:highlight w:val="none"/>
          <w:lang w:eastAsia="zh-CN"/>
        </w:rPr>
        <w:t>31. 履约保证金</w:t>
      </w:r>
      <w:bookmarkEnd w:id="123"/>
      <w:r>
        <w:rPr>
          <w:rFonts w:hint="eastAsia" w:ascii="宋体" w:hAnsi="宋体"/>
          <w:b/>
          <w:bCs/>
          <w:color w:val="auto"/>
          <w:sz w:val="24"/>
          <w:highlight w:val="none"/>
          <w:lang w:eastAsia="zh-CN"/>
        </w:rPr>
        <w:t>（实质性要求）</w:t>
      </w:r>
    </w:p>
    <w:p w14:paraId="225E658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宋体" w:eastAsia="宋体" w:cs="Times New Roman"/>
          <w:b w:val="0"/>
          <w:bCs w:val="0"/>
          <w:color w:val="auto"/>
          <w:sz w:val="24"/>
          <w:szCs w:val="24"/>
          <w:highlight w:val="none"/>
          <w:lang w:val="en-US" w:eastAsia="zh-CN" w:bidi="ar-SA"/>
        </w:rPr>
      </w:pPr>
      <w:r>
        <w:rPr>
          <w:rFonts w:hint="eastAsia" w:ascii="Times New Roman" w:hAnsi="宋体" w:cs="Times New Roman"/>
          <w:b w:val="0"/>
          <w:bCs w:val="0"/>
          <w:color w:val="auto"/>
          <w:sz w:val="24"/>
          <w:szCs w:val="24"/>
          <w:highlight w:val="none"/>
          <w:lang w:val="en-US" w:eastAsia="zh-CN" w:bidi="ar-SA"/>
        </w:rPr>
        <w:t>31.1 中标人应在合同签订之前缴纳招标文件规定数额的履约保证金。</w:t>
      </w:r>
    </w:p>
    <w:p w14:paraId="5587A444">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color w:val="auto"/>
          <w:highlight w:val="none"/>
        </w:rPr>
      </w:pPr>
      <w:r>
        <w:rPr>
          <w:rFonts w:hint="eastAsia" w:ascii="Times New Roman" w:hAnsi="宋体" w:cs="Times New Roman"/>
          <w:b w:val="0"/>
          <w:bCs w:val="0"/>
          <w:color w:val="auto"/>
          <w:sz w:val="24"/>
          <w:szCs w:val="24"/>
          <w:highlight w:val="none"/>
          <w:lang w:val="en-US" w:eastAsia="zh-CN" w:bidi="ar-SA"/>
        </w:rPr>
        <w:t xml:space="preserve">31.2 </w:t>
      </w:r>
      <w:r>
        <w:rPr>
          <w:rFonts w:hint="eastAsia" w:ascii="Times New Roman" w:hAnsi="宋体" w:eastAsia="宋体" w:cs="Times New Roman"/>
          <w:b w:val="0"/>
          <w:bCs w:val="0"/>
          <w:color w:val="auto"/>
          <w:sz w:val="24"/>
          <w:szCs w:val="24"/>
          <w:highlight w:val="none"/>
          <w:lang w:val="en-US" w:eastAsia="zh-CN" w:bidi="ar-SA"/>
        </w:rPr>
        <w:t>如果中标人在规定的合同签订时间内，没有按照招标文件的规定交纳履约保证金，且又无正当理由的，将视为放弃中标。</w:t>
      </w:r>
    </w:p>
    <w:p w14:paraId="4F0C78AF">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32.合同公告</w:t>
      </w:r>
    </w:p>
    <w:p w14:paraId="584D5BF5">
      <w:pPr>
        <w:keepLines w:val="0"/>
        <w:pageBreakBefore w:val="0"/>
        <w:kinsoku/>
        <w:overflowPunct/>
        <w:bidi w:val="0"/>
        <w:spacing w:line="360" w:lineRule="auto"/>
        <w:ind w:firstLine="480" w:firstLineChars="200"/>
        <w:rPr>
          <w:rFonts w:hAnsi="宋体"/>
          <w:color w:val="auto"/>
          <w:highlight w:val="none"/>
        </w:rPr>
      </w:pPr>
      <w:r>
        <w:rPr>
          <w:rFonts w:hint="eastAsia" w:hAnsi="宋体"/>
          <w:color w:val="auto"/>
          <w:highlight w:val="none"/>
          <w:lang w:val="en-US" w:eastAsia="zh-CN"/>
        </w:rPr>
        <w:t>本项目不涉及</w:t>
      </w:r>
      <w:r>
        <w:rPr>
          <w:rFonts w:hint="eastAsia" w:hAnsi="宋体"/>
          <w:color w:val="auto"/>
          <w:highlight w:val="none"/>
        </w:rPr>
        <w:t>。</w:t>
      </w:r>
    </w:p>
    <w:p w14:paraId="78DDCD16">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33.合同备案</w:t>
      </w:r>
    </w:p>
    <w:p w14:paraId="0CAA100B">
      <w:pPr>
        <w:keepLines w:val="0"/>
        <w:pageBreakBefore w:val="0"/>
        <w:kinsoku/>
        <w:overflowPunct/>
        <w:bidi w:val="0"/>
        <w:spacing w:line="360" w:lineRule="auto"/>
        <w:ind w:firstLine="480" w:firstLineChars="200"/>
        <w:rPr>
          <w:rFonts w:hAnsi="宋体"/>
          <w:color w:val="auto"/>
          <w:highlight w:val="none"/>
        </w:rPr>
      </w:pPr>
      <w:r>
        <w:rPr>
          <w:rFonts w:hint="eastAsia" w:hAnsi="宋体"/>
          <w:color w:val="auto"/>
          <w:highlight w:val="none"/>
        </w:rPr>
        <w:t>采购人应当将采购合同副本自签订（双方当事人均已签字盖章）之</w:t>
      </w:r>
      <w:r>
        <w:rPr>
          <w:rFonts w:hint="eastAsia" w:hAnsi="宋体"/>
          <w:color w:val="auto"/>
          <w:highlight w:val="none"/>
          <w:lang w:val="en-US" w:eastAsia="zh-CN"/>
        </w:rPr>
        <w:t>后按照相关规定进行备案</w:t>
      </w:r>
      <w:r>
        <w:rPr>
          <w:rFonts w:hint="eastAsia" w:hAnsi="宋体"/>
          <w:color w:val="auto"/>
          <w:highlight w:val="none"/>
        </w:rPr>
        <w:t>。</w:t>
      </w:r>
    </w:p>
    <w:p w14:paraId="198A8C18">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r>
        <w:rPr>
          <w:rFonts w:hint="eastAsia" w:ascii="宋体" w:hAnsi="宋体"/>
          <w:b/>
          <w:bCs/>
          <w:color w:val="auto"/>
          <w:sz w:val="24"/>
          <w:highlight w:val="none"/>
          <w:lang w:eastAsia="zh-CN"/>
        </w:rPr>
        <w:t>34. 履行合同</w:t>
      </w:r>
    </w:p>
    <w:p w14:paraId="355628C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Ansi="宋体"/>
          <w:color w:val="auto"/>
          <w:highlight w:val="none"/>
        </w:rPr>
      </w:pPr>
      <w:r>
        <w:rPr>
          <w:rFonts w:hint="eastAsia" w:hAnsi="宋体"/>
          <w:color w:val="auto"/>
          <w:highlight w:val="none"/>
        </w:rPr>
        <w:t>34.1 中标人与采购人签订合同后，合同双方应严格执行合同条款，履行合同规定的义务，保证合同的顺利完成。</w:t>
      </w:r>
    </w:p>
    <w:p w14:paraId="690683BD">
      <w:pPr>
        <w:keepLines w:val="0"/>
        <w:pageBreakBefore w:val="0"/>
        <w:kinsoku/>
        <w:overflowPunct/>
        <w:bidi w:val="0"/>
        <w:spacing w:line="360" w:lineRule="auto"/>
        <w:ind w:firstLine="480"/>
        <w:rPr>
          <w:rFonts w:hAnsi="宋体"/>
          <w:color w:val="auto"/>
          <w:highlight w:val="none"/>
        </w:rPr>
      </w:pPr>
      <w:r>
        <w:rPr>
          <w:rFonts w:hint="eastAsia" w:hAnsi="宋体"/>
          <w:color w:val="auto"/>
          <w:highlight w:val="none"/>
        </w:rPr>
        <w:t>34.2 在合同履行过程中，如发生合同纠纷，合同双方应按照《中华人民共和国民法典》的有关规定进行处理。</w:t>
      </w:r>
    </w:p>
    <w:p w14:paraId="73A98B53">
      <w:pPr>
        <w:pStyle w:val="18"/>
        <w:keepLines w:val="0"/>
        <w:pageBreakBefore w:val="0"/>
        <w:kinsoku/>
        <w:overflowPunct/>
        <w:bidi w:val="0"/>
        <w:spacing w:line="360" w:lineRule="auto"/>
        <w:ind w:firstLine="480"/>
        <w:rPr>
          <w:rFonts w:hAnsi="宋体"/>
          <w:color w:val="auto"/>
          <w:kern w:val="0"/>
          <w:sz w:val="24"/>
          <w:highlight w:val="none"/>
        </w:rPr>
      </w:pPr>
      <w:r>
        <w:rPr>
          <w:rFonts w:hint="eastAsia" w:hAnsi="宋体"/>
          <w:color w:val="auto"/>
          <w:kern w:val="0"/>
          <w:sz w:val="24"/>
          <w:highlight w:val="none"/>
        </w:rPr>
        <w:t>34.3政府采购货物、工程和服务项目中涉及商品包装和快递包装的，要参考《商品包装政府采购需求标准（试行）》《快递包装政府采购需求标准（试行）》包装需求标准执行。</w:t>
      </w:r>
    </w:p>
    <w:p w14:paraId="2F26D786">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124" w:name="_Toc308164814"/>
      <w:r>
        <w:rPr>
          <w:rFonts w:hint="eastAsia" w:ascii="宋体" w:hAnsi="宋体"/>
          <w:b/>
          <w:bCs/>
          <w:color w:val="auto"/>
          <w:sz w:val="24"/>
          <w:highlight w:val="none"/>
          <w:lang w:eastAsia="zh-CN"/>
        </w:rPr>
        <w:t>35. 验收</w:t>
      </w:r>
      <w:bookmarkEnd w:id="124"/>
    </w:p>
    <w:bookmarkEnd w:id="122"/>
    <w:p w14:paraId="3F86E919">
      <w:pPr>
        <w:keepLines w:val="0"/>
        <w:pageBreakBefore w:val="0"/>
        <w:kinsoku/>
        <w:overflowPunct/>
        <w:bidi w:val="0"/>
        <w:adjustRightInd w:val="0"/>
        <w:snapToGrid w:val="0"/>
        <w:spacing w:line="360" w:lineRule="auto"/>
        <w:ind w:firstLine="480" w:firstLineChars="200"/>
        <w:rPr>
          <w:rFonts w:ascii="宋体" w:hAnsi="宋体" w:cs="宋体"/>
          <w:color w:val="auto"/>
          <w:highlight w:val="none"/>
        </w:rPr>
      </w:pPr>
      <w:bookmarkStart w:id="125" w:name="_Toc217446074"/>
      <w:bookmarkStart w:id="126" w:name="_Toc183582243"/>
      <w:bookmarkStart w:id="127" w:name="_Toc183682380"/>
      <w:r>
        <w:rPr>
          <w:rFonts w:hint="eastAsia" w:ascii="宋体" w:hAnsi="宋体" w:cs="宋体"/>
          <w:color w:val="auto"/>
          <w:highlight w:val="none"/>
        </w:rPr>
        <w:t>35.1本项目采购人</w:t>
      </w:r>
      <w:r>
        <w:rPr>
          <w:rFonts w:hint="eastAsia" w:ascii="宋体" w:hAnsi="宋体" w:eastAsia="宋体" w:cs="Times New Roman"/>
          <w:b w:val="0"/>
          <w:bCs w:val="0"/>
          <w:color w:val="auto"/>
          <w:kern w:val="0"/>
          <w:sz w:val="24"/>
          <w:szCs w:val="24"/>
          <w:highlight w:val="none"/>
          <w:lang w:val="en-US" w:eastAsia="zh-CN" w:bidi="ar-SA"/>
        </w:rPr>
        <w:t>将</w:t>
      </w:r>
      <w:r>
        <w:rPr>
          <w:rFonts w:hint="eastAsia" w:ascii="宋体" w:hAnsi="宋体" w:cs="Times New Roman"/>
          <w:b w:val="0"/>
          <w:bCs w:val="0"/>
          <w:color w:val="auto"/>
          <w:kern w:val="0"/>
          <w:sz w:val="24"/>
          <w:szCs w:val="24"/>
          <w:highlight w:val="none"/>
          <w:lang w:val="en-US" w:eastAsia="zh-CN" w:bidi="ar-SA"/>
        </w:rPr>
        <w:t>参照《财政部关于进一步加强政府采购需求和履约验收管理的指导意见》（财库〔2016〕205号）要求及特种设备相关国家标准及条例执行。</w:t>
      </w:r>
    </w:p>
    <w:p w14:paraId="1EB54015">
      <w:pPr>
        <w:pStyle w:val="3"/>
        <w:keepLines w:val="0"/>
        <w:pageBreakBefore w:val="0"/>
        <w:kinsoku/>
        <w:overflowPunct/>
        <w:bidi w:val="0"/>
        <w:spacing w:line="360" w:lineRule="auto"/>
        <w:rPr>
          <w:rFonts w:hint="eastAsia"/>
          <w:color w:val="auto"/>
          <w:highlight w:val="none"/>
        </w:rPr>
      </w:pPr>
      <w:r>
        <w:rPr>
          <w:rFonts w:hint="eastAsia"/>
          <w:color w:val="auto"/>
          <w:highlight w:val="none"/>
        </w:rPr>
        <w:t>七、投标纪律要求</w:t>
      </w:r>
      <w:bookmarkEnd w:id="125"/>
    </w:p>
    <w:p w14:paraId="5314CF41">
      <w:pPr>
        <w:keepNext w:val="0"/>
        <w:keepLines w:val="0"/>
        <w:pageBreakBefore w:val="0"/>
        <w:widowControl/>
        <w:kinsoku/>
        <w:wordWrap/>
        <w:overflowPunct/>
        <w:topLinePunct w:val="0"/>
        <w:autoSpaceDE/>
        <w:autoSpaceDN/>
        <w:bidi w:val="0"/>
        <w:adjustRightInd/>
        <w:snapToGrid/>
        <w:spacing w:line="360" w:lineRule="auto"/>
        <w:textAlignment w:val="auto"/>
        <w:rPr>
          <w:rFonts w:hint="eastAsia" w:ascii="宋体" w:hAnsi="宋体"/>
          <w:b/>
          <w:bCs/>
          <w:color w:val="auto"/>
          <w:sz w:val="24"/>
          <w:highlight w:val="none"/>
          <w:lang w:eastAsia="zh-CN"/>
        </w:rPr>
      </w:pPr>
      <w:bookmarkStart w:id="128" w:name="_Toc217446075"/>
      <w:r>
        <w:rPr>
          <w:rFonts w:hint="eastAsia" w:ascii="宋体" w:hAnsi="宋体"/>
          <w:b/>
          <w:bCs/>
          <w:color w:val="auto"/>
          <w:sz w:val="24"/>
          <w:highlight w:val="none"/>
          <w:lang w:eastAsia="zh-CN"/>
        </w:rPr>
        <w:t>36. 投标人不得具有的情形</w:t>
      </w:r>
      <w:bookmarkEnd w:id="128"/>
    </w:p>
    <w:p w14:paraId="123EA5EF">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bookmarkStart w:id="129" w:name="_Toc217446076"/>
      <w:r>
        <w:rPr>
          <w:rFonts w:hint="eastAsia" w:ascii="宋体" w:hAnsi="宋体" w:cs="宋体"/>
          <w:color w:val="auto"/>
          <w:highlight w:val="none"/>
        </w:rPr>
        <w:t>投标人参加本项目投标不得有下列情形：</w:t>
      </w:r>
    </w:p>
    <w:p w14:paraId="2A68D812">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（1）提供虚假材料、承诺谋取中标；</w:t>
      </w:r>
    </w:p>
    <w:p w14:paraId="5945D1AF">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（2）采取不正当手段诋毁、排挤其他投标人；</w:t>
      </w:r>
    </w:p>
    <w:p w14:paraId="535444DD">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（3）与招标采购单位、其他投标人恶意串通；</w:t>
      </w:r>
    </w:p>
    <w:p w14:paraId="70CB7B9E">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（4）向招标采购单位、评标委员会成员行贿或者提供其他不正当利益；</w:t>
      </w:r>
    </w:p>
    <w:p w14:paraId="5DCFC524">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（5）在招标过程中与招标采购单位进行协商谈判；</w:t>
      </w:r>
    </w:p>
    <w:p w14:paraId="5DBCB514">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（6）中标或者</w:t>
      </w:r>
      <w:r>
        <w:rPr>
          <w:rFonts w:hint="eastAsia" w:ascii="宋体" w:hAnsi="宋体" w:cs="宋体"/>
          <w:color w:val="auto"/>
          <w:highlight w:val="none"/>
          <w:lang w:eastAsia="zh-CN"/>
        </w:rPr>
        <w:t>中标</w:t>
      </w:r>
      <w:r>
        <w:rPr>
          <w:rFonts w:hint="eastAsia" w:ascii="宋体" w:hAnsi="宋体" w:cs="宋体"/>
          <w:color w:val="auto"/>
          <w:highlight w:val="none"/>
        </w:rPr>
        <w:t>后无正当理由拒不与采购人签订</w:t>
      </w:r>
      <w:r>
        <w:rPr>
          <w:rFonts w:hint="eastAsia" w:ascii="宋体" w:hAnsi="宋体" w:cs="宋体"/>
          <w:color w:val="auto"/>
          <w:highlight w:val="none"/>
          <w:lang w:eastAsia="zh-CN"/>
        </w:rPr>
        <w:t>采购合同</w:t>
      </w:r>
      <w:r>
        <w:rPr>
          <w:rFonts w:hint="eastAsia" w:ascii="宋体" w:hAnsi="宋体" w:cs="宋体"/>
          <w:color w:val="auto"/>
          <w:highlight w:val="none"/>
        </w:rPr>
        <w:t>；</w:t>
      </w:r>
    </w:p>
    <w:p w14:paraId="41BE9B48">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（7）未按照招标（采购）文件确定的事项签订</w:t>
      </w:r>
      <w:r>
        <w:rPr>
          <w:rFonts w:hint="eastAsia" w:ascii="宋体" w:hAnsi="宋体" w:cs="宋体"/>
          <w:color w:val="auto"/>
          <w:highlight w:val="none"/>
          <w:lang w:eastAsia="zh-CN"/>
        </w:rPr>
        <w:t>采购合同</w:t>
      </w:r>
      <w:r>
        <w:rPr>
          <w:rFonts w:hint="eastAsia" w:ascii="宋体" w:hAnsi="宋体" w:cs="宋体"/>
          <w:color w:val="auto"/>
          <w:highlight w:val="none"/>
        </w:rPr>
        <w:t>；</w:t>
      </w:r>
    </w:p>
    <w:p w14:paraId="2925792E">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（8）将</w:t>
      </w:r>
      <w:r>
        <w:rPr>
          <w:rFonts w:hint="eastAsia" w:ascii="宋体" w:hAnsi="宋体" w:cs="宋体"/>
          <w:color w:val="auto"/>
          <w:highlight w:val="none"/>
          <w:lang w:eastAsia="zh-CN"/>
        </w:rPr>
        <w:t>采购合同</w:t>
      </w:r>
      <w:r>
        <w:rPr>
          <w:rFonts w:hint="eastAsia" w:ascii="宋体" w:hAnsi="宋体" w:cs="宋体"/>
          <w:color w:val="auto"/>
          <w:highlight w:val="none"/>
        </w:rPr>
        <w:t>转包或者违规分包；</w:t>
      </w:r>
    </w:p>
    <w:p w14:paraId="1050AA25">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（9）提供假冒伪劣产品；</w:t>
      </w:r>
    </w:p>
    <w:p w14:paraId="785D9952">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（10）擅自变更、中止或者终止</w:t>
      </w:r>
      <w:r>
        <w:rPr>
          <w:rFonts w:hint="eastAsia" w:ascii="宋体" w:hAnsi="宋体" w:cs="宋体"/>
          <w:color w:val="auto"/>
          <w:highlight w:val="none"/>
          <w:lang w:eastAsia="zh-CN"/>
        </w:rPr>
        <w:t>采购合同</w:t>
      </w:r>
      <w:r>
        <w:rPr>
          <w:rFonts w:hint="eastAsia" w:ascii="宋体" w:hAnsi="宋体" w:cs="宋体"/>
          <w:color w:val="auto"/>
          <w:highlight w:val="none"/>
        </w:rPr>
        <w:t>；</w:t>
      </w:r>
    </w:p>
    <w:p w14:paraId="45D1EDEE">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（11）拒绝有关部门的监督检查或者向监督检查部门提供虚假情况；</w:t>
      </w:r>
    </w:p>
    <w:p w14:paraId="1D77E886">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（12）法律法规规定的其他情形。</w:t>
      </w:r>
    </w:p>
    <w:p w14:paraId="539C102B">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投标人有上述情形的，按照规定追究法律责任，具备（1）-（12）条情形之一的，同时将取消中标资格或者认定中标无效。</w:t>
      </w:r>
      <w:bookmarkEnd w:id="129"/>
      <w:bookmarkStart w:id="130" w:name="_Toc217446077"/>
    </w:p>
    <w:p w14:paraId="53C10594">
      <w:pPr>
        <w:pStyle w:val="3"/>
        <w:keepLines w:val="0"/>
        <w:pageBreakBefore w:val="0"/>
        <w:kinsoku/>
        <w:overflowPunct/>
        <w:bidi w:val="0"/>
        <w:spacing w:line="360" w:lineRule="auto"/>
        <w:rPr>
          <w:rFonts w:hint="eastAsia"/>
          <w:color w:val="auto"/>
          <w:highlight w:val="none"/>
        </w:rPr>
      </w:pPr>
      <w:r>
        <w:rPr>
          <w:rFonts w:hint="eastAsia"/>
          <w:color w:val="auto"/>
          <w:highlight w:val="none"/>
        </w:rPr>
        <w:t>八、质疑和投诉</w:t>
      </w:r>
    </w:p>
    <w:bookmarkEnd w:id="130"/>
    <w:p w14:paraId="6697D26D">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bookmarkStart w:id="131" w:name="_Toc217446079"/>
      <w:r>
        <w:rPr>
          <w:rFonts w:hint="eastAsia" w:ascii="宋体" w:hAnsi="宋体" w:cs="宋体"/>
          <w:color w:val="auto"/>
          <w:highlight w:val="none"/>
        </w:rPr>
        <w:t>3</w:t>
      </w:r>
      <w:bookmarkEnd w:id="131"/>
      <w:r>
        <w:rPr>
          <w:rFonts w:hint="eastAsia" w:ascii="宋体" w:hAnsi="宋体" w:cs="宋体"/>
          <w:color w:val="auto"/>
          <w:highlight w:val="none"/>
        </w:rPr>
        <w:t>7．</w:t>
      </w:r>
      <w:bookmarkEnd w:id="126"/>
      <w:bookmarkEnd w:id="127"/>
      <w:r>
        <w:rPr>
          <w:rFonts w:hint="eastAsia" w:ascii="宋体" w:hAnsi="宋体" w:cs="宋体"/>
          <w:color w:val="auto"/>
          <w:highlight w:val="none"/>
        </w:rPr>
        <w:t>询问、质疑、投诉的接收和处理</w:t>
      </w:r>
      <w:r>
        <w:rPr>
          <w:rFonts w:hint="eastAsia" w:ascii="宋体" w:hAnsi="宋体" w:cs="宋体"/>
          <w:color w:val="auto"/>
          <w:highlight w:val="none"/>
          <w:lang w:val="en-US" w:eastAsia="zh-CN"/>
        </w:rPr>
        <w:t>参照</w:t>
      </w:r>
      <w:r>
        <w:rPr>
          <w:rFonts w:hint="eastAsia" w:ascii="宋体" w:hAnsi="宋体" w:cs="宋体"/>
          <w:color w:val="auto"/>
          <w:highlight w:val="none"/>
        </w:rPr>
        <w:t>《中华人民共和国政府采购法》、《中华人民共和国政府采购法实施条例》、《政府采购质疑和投诉办法》的规定办理。本项目要求供应商在法定质疑期内一次性提出针对同一采购程序环节的质疑。</w:t>
      </w:r>
    </w:p>
    <w:p w14:paraId="3FAB4AAA">
      <w:pPr>
        <w:pStyle w:val="3"/>
        <w:keepLines w:val="0"/>
        <w:pageBreakBefore w:val="0"/>
        <w:kinsoku/>
        <w:overflowPunct/>
        <w:bidi w:val="0"/>
        <w:spacing w:line="360" w:lineRule="auto"/>
        <w:rPr>
          <w:color w:val="auto"/>
          <w:highlight w:val="none"/>
        </w:rPr>
      </w:pPr>
      <w:r>
        <w:rPr>
          <w:rFonts w:hint="eastAsia"/>
          <w:color w:val="auto"/>
          <w:highlight w:val="none"/>
        </w:rPr>
        <w:t>九、其他</w:t>
      </w:r>
    </w:p>
    <w:p w14:paraId="239FE187">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38. 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w:t>
      </w:r>
      <w:r>
        <w:rPr>
          <w:rFonts w:hint="eastAsia" w:ascii="宋体" w:hAnsi="宋体" w:cs="宋体"/>
          <w:color w:val="auto"/>
          <w:highlight w:val="none"/>
          <w:lang w:eastAsia="zh-CN"/>
        </w:rPr>
        <w:t>作调整</w:t>
      </w:r>
      <w:r>
        <w:rPr>
          <w:rFonts w:hint="eastAsia" w:ascii="宋体" w:hAnsi="宋体" w:cs="宋体"/>
          <w:color w:val="auto"/>
          <w:highlight w:val="none"/>
        </w:rPr>
        <w:t>。</w:t>
      </w:r>
    </w:p>
    <w:p w14:paraId="0D83EA6F">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sectPr>
          <w:footerReference r:id="rId8" w:type="first"/>
          <w:footerReference r:id="rId7" w:type="default"/>
          <w:pgSz w:w="11907" w:h="16840"/>
          <w:pgMar w:top="1440" w:right="1080" w:bottom="1440" w:left="1080"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ascii="宋体" w:hAnsi="宋体" w:cs="宋体"/>
          <w:color w:val="auto"/>
          <w:highlight w:val="none"/>
          <w:lang w:val="en-US" w:eastAsia="zh-CN"/>
        </w:rPr>
        <w:t>39</w:t>
      </w:r>
      <w:r>
        <w:rPr>
          <w:rFonts w:hint="eastAsia" w:ascii="宋体" w:hAnsi="宋体" w:cs="宋体"/>
          <w:color w:val="auto"/>
          <w:highlight w:val="none"/>
        </w:rPr>
        <w:t>.（实质性要求）国家或行业主管部门对采购产品的技术标准、质量标准和资格资质条件等有强制性规定的，必须符合其要求。</w:t>
      </w:r>
    </w:p>
    <w:p w14:paraId="1C1E327E">
      <w:pPr>
        <w:pStyle w:val="2"/>
        <w:keepLines w:val="0"/>
        <w:pageBreakBefore w:val="0"/>
        <w:kinsoku/>
        <w:overflowPunct/>
        <w:bidi w:val="0"/>
        <w:spacing w:line="360" w:lineRule="auto"/>
        <w:jc w:val="center"/>
        <w:rPr>
          <w:rFonts w:hint="eastAsia" w:ascii="Cambria" w:hAnsi="Cambria" w:eastAsia="宋体" w:cs="Times New Roman"/>
          <w:b/>
          <w:bCs/>
          <w:color w:val="auto"/>
          <w:kern w:val="32"/>
          <w:sz w:val="32"/>
          <w:szCs w:val="32"/>
          <w:highlight w:val="none"/>
          <w:lang w:val="en-US" w:eastAsia="zh-CN" w:bidi="ar-SA"/>
        </w:rPr>
      </w:pPr>
      <w:bookmarkStart w:id="132" w:name="_Toc18552"/>
      <w:bookmarkStart w:id="133" w:name="_Toc18996"/>
      <w:bookmarkStart w:id="134" w:name="_Toc22345"/>
      <w:r>
        <w:rPr>
          <w:rFonts w:hint="eastAsia" w:ascii="Cambria" w:hAnsi="Cambria" w:eastAsia="宋体" w:cs="Times New Roman"/>
          <w:b/>
          <w:bCs/>
          <w:color w:val="auto"/>
          <w:kern w:val="32"/>
          <w:sz w:val="32"/>
          <w:szCs w:val="32"/>
          <w:highlight w:val="none"/>
          <w:lang w:val="en-US" w:eastAsia="zh-CN" w:bidi="ar-SA"/>
        </w:rPr>
        <w:t>第三章 投标文件格式</w:t>
      </w:r>
      <w:bookmarkEnd w:id="87"/>
      <w:bookmarkEnd w:id="132"/>
      <w:bookmarkEnd w:id="133"/>
      <w:bookmarkEnd w:id="134"/>
    </w:p>
    <w:p w14:paraId="12B2AED6">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p>
    <w:p w14:paraId="7CDB783B">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一、本章所制投标文件格式，除格式中明确将该格式作为实质性要求的，一律不具有强制性。</w:t>
      </w:r>
    </w:p>
    <w:p w14:paraId="39B6E302">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二、本章所制投标文件格式有关表格中的备注栏，由投标人根据自身投标情况作解释性说明，不作为必填项（如果供应商投标文件中已经去掉备注而无其他解释性说明，则视为完全理解并同意备注中的要求）。</w:t>
      </w:r>
    </w:p>
    <w:p w14:paraId="25680F61">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sectPr>
          <w:footerReference r:id="rId9" w:type="first"/>
          <w:pgSz w:w="11907" w:h="16840"/>
          <w:pgMar w:top="1440" w:right="1080" w:bottom="1440" w:left="1080"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ascii="宋体" w:hAnsi="宋体" w:cs="宋体"/>
          <w:color w:val="auto"/>
          <w:highlight w:val="none"/>
        </w:rPr>
        <w:t>三、本章所制投标文件格式中需要填写的相关内容事项，可能会与本采购项目无关，在不改变投标文件原义、不影响本项目采购需求的情况下，投标人可以不予填写，但应当注明。</w:t>
      </w:r>
    </w:p>
    <w:p w14:paraId="4D0BABE1">
      <w:pPr>
        <w:pStyle w:val="3"/>
        <w:keepLines w:val="0"/>
        <w:pageBreakBefore w:val="0"/>
        <w:widowControl/>
        <w:kinsoku/>
        <w:wordWrap/>
        <w:overflowPunct/>
        <w:topLinePunct w:val="0"/>
        <w:autoSpaceDE/>
        <w:autoSpaceDN/>
        <w:bidi w:val="0"/>
        <w:spacing w:line="480" w:lineRule="auto"/>
        <w:textAlignment w:val="auto"/>
        <w:rPr>
          <w:rFonts w:hint="eastAsia"/>
          <w:color w:val="auto"/>
          <w:sz w:val="32"/>
          <w:szCs w:val="32"/>
          <w:highlight w:val="none"/>
          <w:lang w:val="en-US" w:eastAsia="zh-CN"/>
        </w:rPr>
      </w:pPr>
      <w:bookmarkStart w:id="135" w:name="_Toc217446082"/>
      <w:r>
        <w:rPr>
          <w:rFonts w:hint="eastAsia"/>
          <w:color w:val="auto"/>
          <w:sz w:val="32"/>
          <w:szCs w:val="32"/>
          <w:highlight w:val="none"/>
          <w:lang w:val="en-US" w:eastAsia="zh-CN"/>
        </w:rPr>
        <w:t>一、投 标 函</w:t>
      </w:r>
      <w:bookmarkEnd w:id="135"/>
    </w:p>
    <w:p w14:paraId="0D41F87D">
      <w:pPr>
        <w:keepLines w:val="0"/>
        <w:pageBreakBefore w:val="0"/>
        <w:kinsoku/>
        <w:overflowPunct/>
        <w:bidi w:val="0"/>
        <w:adjustRightInd w:val="0"/>
        <w:snapToGrid w:val="0"/>
        <w:spacing w:line="360" w:lineRule="auto"/>
        <w:rPr>
          <w:rFonts w:hint="eastAsia" w:ascii="宋体" w:hAnsi="宋体" w:cs="宋体"/>
          <w:color w:val="auto"/>
          <w:highlight w:val="none"/>
        </w:rPr>
      </w:pPr>
      <w:r>
        <w:rPr>
          <w:rFonts w:hint="eastAsia" w:ascii="宋体" w:hAnsi="宋体" w:cs="宋体"/>
          <w:color w:val="auto"/>
          <w:highlight w:val="none"/>
          <w:lang w:eastAsia="zh-CN"/>
        </w:rPr>
        <w:t>四川五邑招标代理有限公司</w:t>
      </w:r>
      <w:r>
        <w:rPr>
          <w:rFonts w:hint="eastAsia" w:ascii="宋体" w:hAnsi="宋体" w:cs="宋体"/>
          <w:color w:val="auto"/>
          <w:highlight w:val="none"/>
        </w:rPr>
        <w:t>：</w:t>
      </w:r>
    </w:p>
    <w:p w14:paraId="5EE67748">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我方全面研究了“”项目【招标编号：</w:t>
      </w:r>
      <w:r>
        <w:rPr>
          <w:rFonts w:hint="eastAsia" w:ascii="宋体" w:hAnsi="宋体" w:cs="宋体"/>
          <w:color w:val="auto"/>
          <w:highlight w:val="none"/>
          <w:u w:val="single"/>
        </w:rPr>
        <w:t xml:space="preserve">         </w:t>
      </w:r>
      <w:r>
        <w:rPr>
          <w:rFonts w:hint="eastAsia" w:ascii="宋体" w:hAnsi="宋体" w:cs="宋体"/>
          <w:color w:val="auto"/>
          <w:highlight w:val="none"/>
        </w:rPr>
        <w:t>】招标文件；决定参加贵单位组织的本项目投标。我方授权</w:t>
      </w:r>
      <w:r>
        <w:rPr>
          <w:rFonts w:hint="eastAsia" w:ascii="宋体" w:hAnsi="宋体" w:cs="宋体"/>
          <w:color w:val="auto"/>
          <w:highlight w:val="none"/>
          <w:u w:val="single"/>
        </w:rPr>
        <w:t xml:space="preserve"> </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（姓名、职务）代表我方（投标单位的名称）全权处理本项目投标的有关事宜。</w:t>
      </w:r>
    </w:p>
    <w:p w14:paraId="24B2C430">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lang w:eastAsia="zh-CN"/>
        </w:rPr>
        <w:t>（一）</w:t>
      </w:r>
      <w:r>
        <w:rPr>
          <w:rFonts w:hint="eastAsia" w:ascii="宋体" w:hAnsi="宋体" w:cs="宋体"/>
          <w:color w:val="auto"/>
          <w:highlight w:val="none"/>
        </w:rPr>
        <w:t>我方自愿按照招标文件规定的各项要求向采购人提供所需货物/服务，投标总价为人民币</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（大写：</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rPr>
        <w:t>）。</w:t>
      </w:r>
    </w:p>
    <w:p w14:paraId="15E1070A">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lang w:eastAsia="zh-CN"/>
        </w:rPr>
        <w:t>（二）</w:t>
      </w:r>
      <w:r>
        <w:rPr>
          <w:rFonts w:hint="eastAsia" w:ascii="宋体" w:hAnsi="宋体" w:cs="宋体"/>
          <w:color w:val="auto"/>
          <w:highlight w:val="none"/>
        </w:rPr>
        <w:t>一旦我方中标，我方将严格履行</w:t>
      </w:r>
      <w:r>
        <w:rPr>
          <w:rFonts w:hint="eastAsia" w:ascii="宋体" w:hAnsi="宋体" w:cs="宋体"/>
          <w:color w:val="auto"/>
          <w:highlight w:val="none"/>
          <w:lang w:eastAsia="zh-CN"/>
        </w:rPr>
        <w:t>采购合同</w:t>
      </w:r>
      <w:r>
        <w:rPr>
          <w:rFonts w:hint="eastAsia" w:ascii="宋体" w:hAnsi="宋体" w:cs="宋体"/>
          <w:color w:val="auto"/>
          <w:highlight w:val="none"/>
        </w:rPr>
        <w:t>规定的责任和义务。</w:t>
      </w:r>
    </w:p>
    <w:p w14:paraId="4E1AEC12">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lang w:eastAsia="zh-CN"/>
        </w:rPr>
        <w:t>（三）</w:t>
      </w:r>
      <w:r>
        <w:rPr>
          <w:rFonts w:hint="eastAsia" w:ascii="宋体" w:hAnsi="宋体" w:cs="宋体"/>
          <w:color w:val="auto"/>
          <w:highlight w:val="none"/>
        </w:rPr>
        <w:t>我们已详细阅读全部招标文件，参考资料及有关附件等，我们完全理解并放弃提出含糊不清或误解的问题的权利。</w:t>
      </w:r>
    </w:p>
    <w:p w14:paraId="7BCAE365">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lang w:eastAsia="zh-CN"/>
        </w:rPr>
        <w:t>（四）</w:t>
      </w:r>
      <w:r>
        <w:rPr>
          <w:rFonts w:hint="eastAsia" w:ascii="宋体" w:hAnsi="宋体" w:cs="宋体"/>
          <w:color w:val="auto"/>
          <w:highlight w:val="none"/>
        </w:rPr>
        <w:t>我方为本项目提交的投标文件电子文档一份，投标有效期为递交投标文件截止之日起</w:t>
      </w:r>
      <w:r>
        <w:rPr>
          <w:rFonts w:hint="eastAsia" w:ascii="宋体" w:hAnsi="宋体" w:cs="宋体"/>
          <w:color w:val="auto"/>
          <w:highlight w:val="none"/>
          <w:u w:val="single"/>
        </w:rPr>
        <w:t>90</w:t>
      </w:r>
      <w:r>
        <w:rPr>
          <w:rFonts w:hint="eastAsia" w:ascii="宋体" w:hAnsi="宋体" w:cs="宋体"/>
          <w:color w:val="auto"/>
          <w:highlight w:val="none"/>
        </w:rPr>
        <w:t>天。</w:t>
      </w:r>
    </w:p>
    <w:p w14:paraId="309B480D">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lang w:eastAsia="zh-CN"/>
        </w:rPr>
        <w:t>（五）</w:t>
      </w:r>
      <w:r>
        <w:rPr>
          <w:rFonts w:hint="eastAsia" w:ascii="宋体" w:hAnsi="宋体" w:cs="宋体"/>
          <w:color w:val="auto"/>
          <w:highlight w:val="none"/>
        </w:rPr>
        <w:t>我方完全理解采购人不一定接受最低报价的投标或收到的任何投标。</w:t>
      </w:r>
    </w:p>
    <w:p w14:paraId="31C9143F">
      <w:pPr>
        <w:keepLines w:val="0"/>
        <w:pageBreakBefore w:val="0"/>
        <w:kinsoku/>
        <w:overflowPunct/>
        <w:bidi w:val="0"/>
        <w:adjustRightInd w:val="0"/>
        <w:snapToGrid w:val="0"/>
        <w:spacing w:line="360" w:lineRule="auto"/>
        <w:ind w:firstLine="480" w:firstLineChars="200"/>
        <w:rPr>
          <w:rFonts w:hAnsi="宋体"/>
          <w:color w:val="auto"/>
          <w:highlight w:val="none"/>
        </w:rPr>
      </w:pPr>
      <w:r>
        <w:rPr>
          <w:rFonts w:hint="eastAsia" w:ascii="宋体" w:hAnsi="宋体" w:cs="宋体"/>
          <w:color w:val="auto"/>
          <w:highlight w:val="none"/>
          <w:lang w:eastAsia="zh-CN"/>
        </w:rPr>
        <w:t>（六）</w:t>
      </w:r>
      <w:r>
        <w:rPr>
          <w:rFonts w:hint="eastAsia" w:ascii="宋体" w:hAnsi="宋体" w:cs="宋体"/>
          <w:color w:val="auto"/>
          <w:highlight w:val="none"/>
        </w:rPr>
        <w:t>我方同意本招标文件依据《四川省公共资源交易领域严重失信联合惩戒实施办法》（川</w:t>
      </w:r>
      <w:r>
        <w:rPr>
          <w:rFonts w:ascii="宋体" w:hAnsi="宋体" w:cs="宋体"/>
          <w:color w:val="auto"/>
          <w:highlight w:val="none"/>
        </w:rPr>
        <w:t>发改信用规〔2019〕405号）、《关于对政府采购领域严重违法失信主体开展联合惩戒的合作备忘录》（发改财金〔2018〕1614号）</w:t>
      </w:r>
      <w:r>
        <w:rPr>
          <w:rFonts w:hint="eastAsia" w:hAnsi="宋体"/>
          <w:color w:val="auto"/>
          <w:highlight w:val="none"/>
        </w:rPr>
        <w:t>对我方可能存在的失信行为进行的惩戒。</w:t>
      </w:r>
    </w:p>
    <w:p w14:paraId="37669656">
      <w:pPr>
        <w:keepLines w:val="0"/>
        <w:pageBreakBefore w:val="0"/>
        <w:kinsoku/>
        <w:overflowPunct/>
        <w:autoSpaceDE w:val="0"/>
        <w:autoSpaceDN w:val="0"/>
        <w:bidi w:val="0"/>
        <w:snapToGrid w:val="0"/>
        <w:spacing w:line="360" w:lineRule="auto"/>
        <w:ind w:firstLine="480" w:firstLineChars="200"/>
        <w:rPr>
          <w:color w:val="auto"/>
          <w:highlight w:val="none"/>
        </w:rPr>
      </w:pPr>
      <w:r>
        <w:rPr>
          <w:rFonts w:hint="eastAsia" w:hAnsi="宋体"/>
          <w:color w:val="auto"/>
          <w:highlight w:val="none"/>
          <w:lang w:eastAsia="zh-CN"/>
        </w:rPr>
        <w:t>（七）</w:t>
      </w:r>
      <w:r>
        <w:rPr>
          <w:rFonts w:hAnsi="宋体"/>
          <w:color w:val="auto"/>
          <w:highlight w:val="none"/>
        </w:rPr>
        <w:t>如果我方</w:t>
      </w:r>
      <w:r>
        <w:rPr>
          <w:rFonts w:hint="eastAsia" w:hAnsi="宋体"/>
          <w:color w:val="auto"/>
          <w:highlight w:val="none"/>
        </w:rPr>
        <w:t>中标</w:t>
      </w:r>
      <w:r>
        <w:rPr>
          <w:rFonts w:hAnsi="宋体"/>
          <w:color w:val="auto"/>
          <w:highlight w:val="none"/>
        </w:rPr>
        <w:t>，我方保证按照招标文件的规定向贵方交纳</w:t>
      </w:r>
      <w:r>
        <w:rPr>
          <w:rFonts w:hint="eastAsia" w:hAnsi="宋体"/>
          <w:color w:val="auto"/>
          <w:highlight w:val="none"/>
        </w:rPr>
        <w:t>中标</w:t>
      </w:r>
      <w:r>
        <w:rPr>
          <w:rFonts w:hAnsi="宋体"/>
          <w:color w:val="auto"/>
          <w:highlight w:val="none"/>
        </w:rPr>
        <w:t>服务费</w:t>
      </w:r>
      <w:r>
        <w:rPr>
          <w:rFonts w:hint="eastAsia" w:hAnsi="宋体"/>
          <w:color w:val="auto"/>
          <w:highlight w:val="none"/>
        </w:rPr>
        <w:t>。</w:t>
      </w:r>
    </w:p>
    <w:p w14:paraId="5CD75F98">
      <w:pPr>
        <w:keepLines w:val="0"/>
        <w:pageBreakBefore w:val="0"/>
        <w:kinsoku/>
        <w:overflowPunct/>
        <w:autoSpaceDE w:val="0"/>
        <w:autoSpaceDN w:val="0"/>
        <w:bidi w:val="0"/>
        <w:snapToGrid w:val="0"/>
        <w:spacing w:line="360" w:lineRule="auto"/>
        <w:ind w:firstLine="480" w:firstLineChars="200"/>
        <w:rPr>
          <w:rFonts w:hAnsi="宋体"/>
          <w:color w:val="auto"/>
          <w:highlight w:val="none"/>
        </w:rPr>
      </w:pPr>
      <w:r>
        <w:rPr>
          <w:rFonts w:hint="eastAsia" w:hAnsi="宋体"/>
          <w:color w:val="auto"/>
          <w:highlight w:val="none"/>
          <w:lang w:eastAsia="zh-CN"/>
        </w:rPr>
        <w:t>（八）</w:t>
      </w:r>
      <w:r>
        <w:rPr>
          <w:rFonts w:hint="eastAsia" w:hAnsi="宋体"/>
          <w:color w:val="auto"/>
          <w:highlight w:val="none"/>
        </w:rPr>
        <w:t>我方愿意提供贵方可能另外要求的，与投标有关的文件资料，并保证我方已提供和将要提供的文件资料是真实、准确的。</w:t>
      </w:r>
    </w:p>
    <w:p w14:paraId="2A1160D9">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p>
    <w:p w14:paraId="49DD68FD">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投标人名称（单位公章）：</w:t>
      </w:r>
    </w:p>
    <w:p w14:paraId="518EE204">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法定代表人或授权代表（签字）：</w:t>
      </w:r>
    </w:p>
    <w:p w14:paraId="5D097EBB">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联系电话：</w:t>
      </w:r>
    </w:p>
    <w:p w14:paraId="3BEE9C46">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传    真：</w:t>
      </w:r>
    </w:p>
    <w:p w14:paraId="3DBFEC92">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通讯地址：</w:t>
      </w:r>
    </w:p>
    <w:p w14:paraId="7787CE7A">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邮政编码：</w:t>
      </w:r>
    </w:p>
    <w:p w14:paraId="6C15E10A">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sectPr>
          <w:footerReference r:id="rId10" w:type="first"/>
          <w:pgSz w:w="11907" w:h="16840"/>
          <w:pgMar w:top="1440" w:right="1080" w:bottom="1440" w:left="1080"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hAnsi="宋体"/>
          <w:color w:val="auto"/>
          <w:highlight w:val="none"/>
        </w:rPr>
        <w:t>日    期：</w:t>
      </w:r>
    </w:p>
    <w:p w14:paraId="0F9FAAAA">
      <w:pPr>
        <w:pStyle w:val="3"/>
        <w:keepLines w:val="0"/>
        <w:pageBreakBefore w:val="0"/>
        <w:widowControl/>
        <w:kinsoku/>
        <w:wordWrap/>
        <w:overflowPunct/>
        <w:topLinePunct w:val="0"/>
        <w:autoSpaceDE/>
        <w:autoSpaceDN/>
        <w:bidi w:val="0"/>
        <w:spacing w:line="480" w:lineRule="auto"/>
        <w:textAlignment w:val="auto"/>
        <w:rPr>
          <w:rFonts w:hint="eastAsia"/>
          <w:color w:val="auto"/>
          <w:sz w:val="32"/>
          <w:szCs w:val="32"/>
          <w:highlight w:val="none"/>
          <w:lang w:val="en-US" w:eastAsia="zh-CN"/>
        </w:rPr>
      </w:pPr>
      <w:r>
        <w:rPr>
          <w:rFonts w:hint="eastAsia"/>
          <w:color w:val="auto"/>
          <w:sz w:val="32"/>
          <w:szCs w:val="32"/>
          <w:highlight w:val="none"/>
          <w:lang w:val="en-US" w:eastAsia="zh-CN"/>
        </w:rPr>
        <w:t xml:space="preserve">二、承诺函 </w:t>
      </w:r>
    </w:p>
    <w:p w14:paraId="42C39BBA">
      <w:pPr>
        <w:keepLines w:val="0"/>
        <w:pageBreakBefore w:val="0"/>
        <w:kinsoku/>
        <w:overflowPunct/>
        <w:bidi w:val="0"/>
        <w:adjustRightInd w:val="0"/>
        <w:snapToGrid w:val="0"/>
        <w:spacing w:line="360" w:lineRule="auto"/>
        <w:rPr>
          <w:rFonts w:hint="default" w:ascii="宋体" w:hAnsi="宋体" w:cs="宋体"/>
          <w:color w:val="auto"/>
          <w:highlight w:val="none"/>
          <w:lang w:val="en-US" w:eastAsia="zh-CN"/>
        </w:rPr>
      </w:pPr>
      <w:r>
        <w:rPr>
          <w:rFonts w:hint="eastAsia" w:ascii="宋体" w:hAnsi="宋体" w:cs="宋体"/>
          <w:color w:val="auto"/>
          <w:highlight w:val="none"/>
          <w:lang w:eastAsia="zh-CN"/>
        </w:rPr>
        <w:t>四川五邑招标代理有限公司</w:t>
      </w:r>
      <w:r>
        <w:rPr>
          <w:rFonts w:hint="eastAsia" w:ascii="宋体" w:hAnsi="宋体" w:cs="宋体"/>
          <w:color w:val="auto"/>
          <w:highlight w:val="none"/>
          <w:lang w:val="en-US" w:eastAsia="zh-CN"/>
        </w:rPr>
        <w:t>:</w:t>
      </w:r>
    </w:p>
    <w:p w14:paraId="4B7FCD2E">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我公司作为本次采购项目的投标人，根据招标文件要求，现郑重承诺如下：</w:t>
      </w:r>
    </w:p>
    <w:p w14:paraId="43348508">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rPr>
        <w:t>一</w:t>
      </w:r>
      <w:r>
        <w:rPr>
          <w:rFonts w:hint="eastAsia" w:ascii="宋体" w:hAnsi="宋体" w:cs="宋体"/>
          <w:color w:val="auto"/>
          <w:highlight w:val="none"/>
          <w:lang w:eastAsia="zh-CN"/>
        </w:rPr>
        <w:t>）</w:t>
      </w:r>
      <w:r>
        <w:rPr>
          <w:rFonts w:hint="eastAsia" w:ascii="宋体" w:hAnsi="宋体" w:cs="宋体"/>
          <w:color w:val="auto"/>
          <w:highlight w:val="none"/>
        </w:rPr>
        <w:t>具备</w:t>
      </w:r>
      <w:r>
        <w:rPr>
          <w:rFonts w:hint="eastAsia" w:ascii="宋体" w:hAnsi="宋体" w:cs="宋体"/>
          <w:color w:val="auto"/>
          <w:highlight w:val="none"/>
          <w:lang w:val="en-US" w:eastAsia="zh-CN"/>
        </w:rPr>
        <w:t>以下基本</w:t>
      </w:r>
      <w:r>
        <w:rPr>
          <w:rFonts w:hint="eastAsia" w:ascii="宋体" w:hAnsi="宋体" w:cs="宋体"/>
          <w:color w:val="auto"/>
          <w:highlight w:val="none"/>
        </w:rPr>
        <w:t>条件：</w:t>
      </w:r>
    </w:p>
    <w:p w14:paraId="73F16491">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1</w:t>
      </w:r>
      <w:r>
        <w:rPr>
          <w:rFonts w:hint="eastAsia" w:ascii="宋体" w:hAnsi="宋体" w:cs="宋体"/>
          <w:color w:val="auto"/>
          <w:highlight w:val="none"/>
          <w:lang w:val="en-US" w:eastAsia="zh-CN"/>
        </w:rPr>
        <w:t>.</w:t>
      </w:r>
      <w:r>
        <w:rPr>
          <w:rFonts w:hint="eastAsia" w:ascii="宋体" w:hAnsi="宋体" w:cs="宋体"/>
          <w:color w:val="auto"/>
          <w:highlight w:val="none"/>
        </w:rPr>
        <w:t xml:space="preserve">具有独立承担民事责任的能力； </w:t>
      </w:r>
    </w:p>
    <w:p w14:paraId="6ABC01DB">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2</w:t>
      </w:r>
      <w:r>
        <w:rPr>
          <w:rFonts w:hint="eastAsia" w:ascii="宋体" w:hAnsi="宋体" w:cs="宋体"/>
          <w:color w:val="auto"/>
          <w:highlight w:val="none"/>
          <w:lang w:val="en-US" w:eastAsia="zh-CN"/>
        </w:rPr>
        <w:t>.</w:t>
      </w:r>
      <w:r>
        <w:rPr>
          <w:rFonts w:hint="eastAsia" w:ascii="宋体" w:hAnsi="宋体" w:cs="宋体"/>
          <w:color w:val="auto"/>
          <w:highlight w:val="none"/>
        </w:rPr>
        <w:t xml:space="preserve">具有良好的商业信誉和健全的财务会计制度； </w:t>
      </w:r>
    </w:p>
    <w:p w14:paraId="20927A09">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3</w:t>
      </w:r>
      <w:r>
        <w:rPr>
          <w:rFonts w:hint="eastAsia" w:ascii="宋体" w:hAnsi="宋体" w:cs="宋体"/>
          <w:color w:val="auto"/>
          <w:highlight w:val="none"/>
          <w:lang w:val="en-US" w:eastAsia="zh-CN"/>
        </w:rPr>
        <w:t>.</w:t>
      </w:r>
      <w:r>
        <w:rPr>
          <w:rFonts w:hint="eastAsia" w:ascii="宋体" w:hAnsi="宋体" w:cs="宋体"/>
          <w:color w:val="auto"/>
          <w:highlight w:val="none"/>
        </w:rPr>
        <w:t xml:space="preserve">具有履行合同所必需的设备和专业技术能力； </w:t>
      </w:r>
    </w:p>
    <w:p w14:paraId="6CB1E126">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4</w:t>
      </w:r>
      <w:r>
        <w:rPr>
          <w:rFonts w:hint="eastAsia" w:ascii="宋体" w:hAnsi="宋体" w:cs="宋体"/>
          <w:color w:val="auto"/>
          <w:highlight w:val="none"/>
          <w:lang w:val="en-US" w:eastAsia="zh-CN"/>
        </w:rPr>
        <w:t>.</w:t>
      </w:r>
      <w:r>
        <w:rPr>
          <w:rFonts w:hint="eastAsia" w:ascii="宋体" w:hAnsi="宋体" w:cs="宋体"/>
          <w:color w:val="auto"/>
          <w:highlight w:val="none"/>
        </w:rPr>
        <w:t xml:space="preserve">有依法缴纳税收和社会保障资金的良好记录； </w:t>
      </w:r>
    </w:p>
    <w:p w14:paraId="68CC1562">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5</w:t>
      </w:r>
      <w:r>
        <w:rPr>
          <w:rFonts w:hint="eastAsia" w:ascii="宋体" w:hAnsi="宋体" w:cs="宋体"/>
          <w:color w:val="auto"/>
          <w:highlight w:val="none"/>
          <w:lang w:val="en-US" w:eastAsia="zh-CN"/>
        </w:rPr>
        <w:t>.</w:t>
      </w:r>
      <w:r>
        <w:rPr>
          <w:rFonts w:hint="eastAsia" w:ascii="宋体" w:hAnsi="宋体" w:cs="宋体"/>
          <w:color w:val="auto"/>
          <w:highlight w:val="none"/>
        </w:rPr>
        <w:t>参加</w:t>
      </w:r>
      <w:r>
        <w:rPr>
          <w:rFonts w:hint="eastAsia" w:ascii="宋体" w:hAnsi="宋体" w:cs="宋体"/>
          <w:color w:val="auto"/>
          <w:highlight w:val="none"/>
          <w:lang w:eastAsia="zh-CN"/>
        </w:rPr>
        <w:t>采购活动</w:t>
      </w:r>
      <w:r>
        <w:rPr>
          <w:rFonts w:hint="eastAsia" w:ascii="宋体" w:hAnsi="宋体" w:cs="宋体"/>
          <w:color w:val="auto"/>
          <w:highlight w:val="none"/>
        </w:rPr>
        <w:t>前三年内，在经营活动中没有重大违法记录；</w:t>
      </w:r>
    </w:p>
    <w:p w14:paraId="00EA3166">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6</w:t>
      </w:r>
      <w:r>
        <w:rPr>
          <w:rFonts w:hint="eastAsia" w:ascii="宋体" w:hAnsi="宋体" w:cs="宋体"/>
          <w:color w:val="auto"/>
          <w:highlight w:val="none"/>
          <w:lang w:val="en-US" w:eastAsia="zh-CN"/>
        </w:rPr>
        <w:t>.</w:t>
      </w:r>
      <w:r>
        <w:rPr>
          <w:rFonts w:hint="eastAsia" w:ascii="宋体" w:hAnsi="宋体" w:cs="宋体"/>
          <w:color w:val="auto"/>
          <w:highlight w:val="none"/>
        </w:rPr>
        <w:t>法律、行政法规规定的其他条件；</w:t>
      </w:r>
    </w:p>
    <w:p w14:paraId="37F967A4">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7</w:t>
      </w:r>
      <w:r>
        <w:rPr>
          <w:rFonts w:hint="eastAsia" w:ascii="宋体" w:hAnsi="宋体" w:cs="宋体"/>
          <w:color w:val="auto"/>
          <w:highlight w:val="none"/>
          <w:lang w:val="en-US" w:eastAsia="zh-CN"/>
        </w:rPr>
        <w:t>.</w:t>
      </w:r>
      <w:r>
        <w:rPr>
          <w:rFonts w:hint="eastAsia" w:ascii="宋体" w:hAnsi="宋体" w:cs="宋体"/>
          <w:color w:val="auto"/>
          <w:highlight w:val="none"/>
        </w:rPr>
        <w:t>根据采购项目提出的特殊条件。</w:t>
      </w:r>
    </w:p>
    <w:p w14:paraId="660784A0">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rPr>
        <w:t>二</w:t>
      </w:r>
      <w:r>
        <w:rPr>
          <w:rFonts w:hint="eastAsia" w:ascii="宋体" w:hAnsi="宋体" w:cs="宋体"/>
          <w:color w:val="auto"/>
          <w:highlight w:val="none"/>
          <w:lang w:eastAsia="zh-CN"/>
        </w:rPr>
        <w:t>）</w:t>
      </w:r>
      <w:r>
        <w:rPr>
          <w:rFonts w:hint="eastAsia" w:ascii="宋体" w:hAnsi="宋体" w:cs="宋体"/>
          <w:color w:val="auto"/>
          <w:highlight w:val="none"/>
        </w:rPr>
        <w:t>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14:paraId="3BC3FCA5">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rPr>
        <w:t>三</w:t>
      </w:r>
      <w:r>
        <w:rPr>
          <w:rFonts w:hint="eastAsia" w:ascii="宋体" w:hAnsi="宋体" w:cs="宋体"/>
          <w:color w:val="auto"/>
          <w:highlight w:val="none"/>
          <w:lang w:eastAsia="zh-CN"/>
        </w:rPr>
        <w:t>）</w:t>
      </w:r>
      <w:r>
        <w:rPr>
          <w:rFonts w:hint="eastAsia" w:ascii="宋体" w:hAnsi="宋体" w:cs="宋体"/>
          <w:color w:val="auto"/>
          <w:highlight w:val="none"/>
        </w:rPr>
        <w:t>参加本次招标采购活动，不存在与单位负责人为同一人或者存在直接控股、管理关系的其他供应商参与同一合同项下的</w:t>
      </w:r>
      <w:r>
        <w:rPr>
          <w:rFonts w:hint="eastAsia" w:ascii="宋体" w:hAnsi="宋体" w:cs="宋体"/>
          <w:color w:val="auto"/>
          <w:highlight w:val="none"/>
          <w:lang w:eastAsia="zh-CN"/>
        </w:rPr>
        <w:t>采购活动</w:t>
      </w:r>
      <w:r>
        <w:rPr>
          <w:rFonts w:hint="eastAsia" w:ascii="宋体" w:hAnsi="宋体" w:cs="宋体"/>
          <w:color w:val="auto"/>
          <w:highlight w:val="none"/>
        </w:rPr>
        <w:t>的行为。我方未参与本采购项目前期咨询论证，不属于禁止参加本项目投标的供应商。</w:t>
      </w:r>
    </w:p>
    <w:p w14:paraId="63FD62EF">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rPr>
        <w:t>四</w:t>
      </w:r>
      <w:r>
        <w:rPr>
          <w:rFonts w:hint="eastAsia" w:ascii="宋体" w:hAnsi="宋体" w:cs="宋体"/>
          <w:color w:val="auto"/>
          <w:highlight w:val="none"/>
          <w:lang w:eastAsia="zh-CN"/>
        </w:rPr>
        <w:t>）</w:t>
      </w:r>
      <w:r>
        <w:rPr>
          <w:rFonts w:hint="eastAsia" w:ascii="宋体" w:hAnsi="宋体" w:cs="宋体"/>
          <w:color w:val="auto"/>
          <w:highlight w:val="none"/>
        </w:rPr>
        <w:t>参加本次招标采购活动，不存在和其他供应商在同一合同项下的采购项目中，同时委托同一个自然人、同一家庭的人员、同一单位的人员作为代理人的行为。</w:t>
      </w:r>
    </w:p>
    <w:p w14:paraId="7A0FA3F2">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rPr>
        <w:t>五</w:t>
      </w:r>
      <w:r>
        <w:rPr>
          <w:rFonts w:hint="eastAsia" w:ascii="宋体" w:hAnsi="宋体" w:cs="宋体"/>
          <w:color w:val="auto"/>
          <w:highlight w:val="none"/>
          <w:lang w:eastAsia="zh-CN"/>
        </w:rPr>
        <w:t>）</w:t>
      </w:r>
      <w:r>
        <w:rPr>
          <w:rFonts w:hint="eastAsia" w:ascii="宋体" w:hAnsi="宋体" w:cs="宋体"/>
          <w:color w:val="auto"/>
          <w:highlight w:val="none"/>
        </w:rPr>
        <w:t>我司未被对列入按财库[2016]125号规定的失信被执行人、重大税收违法案件当事人名单、政府采购严重违法失信行为记录名单及其他不符合《中华人民共和国政府采购法》第二十二条规定条件的供应商。</w:t>
      </w:r>
    </w:p>
    <w:p w14:paraId="765F0F7F">
      <w:pPr>
        <w:keepLines w:val="0"/>
        <w:pageBreakBefore w:val="0"/>
        <w:kinsoku/>
        <w:overflowPunct/>
        <w:bidi w:val="0"/>
        <w:adjustRightInd w:val="0"/>
        <w:snapToGrid w:val="0"/>
        <w:spacing w:line="360" w:lineRule="auto"/>
        <w:ind w:firstLine="482" w:firstLineChars="200"/>
        <w:rPr>
          <w:rFonts w:hint="eastAsia" w:ascii="宋体" w:hAnsi="宋体" w:cs="宋体"/>
          <w:b/>
          <w:bCs/>
          <w:color w:val="auto"/>
          <w:highlight w:val="none"/>
        </w:rPr>
      </w:pPr>
      <w:r>
        <w:rPr>
          <w:rFonts w:hint="eastAsia" w:ascii="宋体" w:hAnsi="宋体" w:cs="宋体"/>
          <w:b/>
          <w:bCs/>
          <w:color w:val="auto"/>
          <w:highlight w:val="none"/>
          <w:lang w:eastAsia="zh-CN"/>
        </w:rPr>
        <w:t>（</w:t>
      </w:r>
      <w:r>
        <w:rPr>
          <w:rFonts w:hint="eastAsia" w:ascii="宋体" w:hAnsi="宋体" w:cs="宋体"/>
          <w:b/>
          <w:bCs/>
          <w:color w:val="auto"/>
          <w:highlight w:val="none"/>
        </w:rPr>
        <w:t>六</w:t>
      </w:r>
      <w:r>
        <w:rPr>
          <w:rFonts w:hint="eastAsia" w:ascii="宋体" w:hAnsi="宋体" w:cs="宋体"/>
          <w:b/>
          <w:bCs/>
          <w:color w:val="auto"/>
          <w:highlight w:val="none"/>
          <w:lang w:eastAsia="zh-CN"/>
        </w:rPr>
        <w:t>）</w:t>
      </w:r>
      <w:r>
        <w:rPr>
          <w:rFonts w:hint="eastAsia" w:ascii="宋体" w:hAnsi="宋体" w:cs="宋体"/>
          <w:b/>
          <w:bCs/>
          <w:color w:val="auto"/>
          <w:highlight w:val="none"/>
        </w:rPr>
        <w:t>如果有《四川省公共资源交易领域严重失信联合惩戒实施办法》（川发改信用规〔2019〕405号）、《关于对政府采购领域严重违法失信主体开展联合惩戒的合作备忘录》（发改财金〔2018〕1614号）规定的记入诚信档案的失信行为，将在投标文件中全面如实反映。</w:t>
      </w:r>
    </w:p>
    <w:p w14:paraId="2510BD18">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rPr>
        <w:t>七</w:t>
      </w:r>
      <w:r>
        <w:rPr>
          <w:rFonts w:hint="eastAsia" w:ascii="宋体" w:hAnsi="宋体" w:cs="宋体"/>
          <w:color w:val="auto"/>
          <w:highlight w:val="none"/>
          <w:lang w:eastAsia="zh-CN"/>
        </w:rPr>
        <w:t>）</w:t>
      </w:r>
      <w:r>
        <w:rPr>
          <w:rFonts w:hint="eastAsia" w:ascii="宋体" w:hAnsi="宋体" w:cs="宋体"/>
          <w:color w:val="auto"/>
          <w:highlight w:val="none"/>
        </w:rPr>
        <w:t>投标文件中提供的能够给予我公司带来优惠、好处的任何材料资料和技术、服务、商务等响应承诺情况都是真实的、有效的、合法的。</w:t>
      </w:r>
    </w:p>
    <w:p w14:paraId="20DEEF22">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rPr>
        <w:t>八</w:t>
      </w:r>
      <w:r>
        <w:rPr>
          <w:rFonts w:hint="eastAsia" w:ascii="宋体" w:hAnsi="宋体" w:cs="宋体"/>
          <w:color w:val="auto"/>
          <w:highlight w:val="none"/>
          <w:lang w:eastAsia="zh-CN"/>
        </w:rPr>
        <w:t>）</w:t>
      </w:r>
      <w:r>
        <w:rPr>
          <w:rFonts w:hint="eastAsia" w:ascii="宋体" w:hAnsi="宋体" w:cs="宋体"/>
          <w:color w:val="auto"/>
          <w:highlight w:val="none"/>
        </w:rPr>
        <w:t>我司完全同意招标文件中关于知识产权的说明，承诺由此造成的纠纷由本单位全权负责。</w:t>
      </w:r>
    </w:p>
    <w:p w14:paraId="3C135F3D">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lang w:eastAsia="zh-CN"/>
        </w:rPr>
        <w:t>（</w:t>
      </w:r>
      <w:r>
        <w:rPr>
          <w:rFonts w:hint="eastAsia" w:ascii="宋体" w:hAnsi="宋体" w:cs="宋体"/>
          <w:color w:val="auto"/>
          <w:highlight w:val="none"/>
        </w:rPr>
        <w:t>九</w:t>
      </w:r>
      <w:r>
        <w:rPr>
          <w:rFonts w:hint="eastAsia" w:ascii="宋体" w:hAnsi="宋体" w:cs="宋体"/>
          <w:color w:val="auto"/>
          <w:highlight w:val="none"/>
          <w:lang w:eastAsia="zh-CN"/>
        </w:rPr>
        <w:t>）</w:t>
      </w:r>
      <w:r>
        <w:rPr>
          <w:rFonts w:hint="eastAsia" w:ascii="宋体" w:hAnsi="宋体" w:cs="宋体"/>
          <w:color w:val="auto"/>
          <w:highlight w:val="none"/>
        </w:rPr>
        <w:t>国家或行业主管部门对采购产品的技术标准、质量标准和资格资质条件等有强制性规定的，我方承诺符合其要求。</w:t>
      </w:r>
    </w:p>
    <w:p w14:paraId="4D374D71">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本单位对上述承诺内容事项真实性负责。如经查实上述承诺的内容事项存在虚假，本单位愿意接受以提供虚假材料谋取中标追究法律责任。</w:t>
      </w:r>
    </w:p>
    <w:p w14:paraId="54CA8E97">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p>
    <w:p w14:paraId="383DE185">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投标人名称（盖单位公章）：</w:t>
      </w:r>
    </w:p>
    <w:p w14:paraId="3C95A11A">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法定代表人或授权代表（签字）：</w:t>
      </w:r>
    </w:p>
    <w:p w14:paraId="7DB97EA1">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sectPr>
          <w:footerReference r:id="rId11" w:type="first"/>
          <w:pgSz w:w="11907" w:h="16840"/>
          <w:pgMar w:top="1440" w:right="1080" w:bottom="1440" w:left="1080"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hAnsi="宋体"/>
          <w:color w:val="auto"/>
          <w:highlight w:val="none"/>
        </w:rPr>
        <w:t>日期：</w:t>
      </w:r>
    </w:p>
    <w:p w14:paraId="0AE07033">
      <w:pPr>
        <w:pStyle w:val="3"/>
        <w:keepLines w:val="0"/>
        <w:pageBreakBefore w:val="0"/>
        <w:kinsoku/>
        <w:overflowPunct/>
        <w:bidi w:val="0"/>
        <w:spacing w:line="360" w:lineRule="auto"/>
        <w:rPr>
          <w:rFonts w:hint="eastAsia"/>
          <w:color w:val="auto"/>
          <w:sz w:val="32"/>
          <w:szCs w:val="32"/>
          <w:highlight w:val="none"/>
          <w:lang w:val="en-US" w:eastAsia="zh-CN"/>
        </w:rPr>
      </w:pPr>
      <w:r>
        <w:rPr>
          <w:rFonts w:hint="eastAsia"/>
          <w:color w:val="auto"/>
          <w:sz w:val="32"/>
          <w:szCs w:val="32"/>
          <w:highlight w:val="none"/>
          <w:lang w:val="en-US" w:eastAsia="zh-CN"/>
        </w:rPr>
        <w:t>三、法定代表人授权书</w:t>
      </w:r>
    </w:p>
    <w:p w14:paraId="49C0793F">
      <w:pPr>
        <w:keepLines w:val="0"/>
        <w:pageBreakBefore w:val="0"/>
        <w:kinsoku/>
        <w:overflowPunct/>
        <w:bidi w:val="0"/>
        <w:adjustRightInd w:val="0"/>
        <w:snapToGrid w:val="0"/>
        <w:spacing w:line="360" w:lineRule="auto"/>
        <w:rPr>
          <w:rFonts w:hint="eastAsia" w:ascii="宋体" w:hAnsi="宋体" w:cs="宋体"/>
          <w:color w:val="auto"/>
          <w:highlight w:val="none"/>
          <w:lang w:eastAsia="zh-CN"/>
        </w:rPr>
      </w:pPr>
      <w:r>
        <w:rPr>
          <w:rFonts w:hint="eastAsia" w:ascii="宋体" w:hAnsi="宋体" w:cs="宋体"/>
          <w:color w:val="auto"/>
          <w:highlight w:val="none"/>
          <w:lang w:eastAsia="zh-CN"/>
        </w:rPr>
        <w:t>四川五邑招标代理有限公司：</w:t>
      </w:r>
    </w:p>
    <w:p w14:paraId="7E1F4242">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本授权声明：（投标人名称）（法定代表人姓名、职务）授权（被授权人姓名、职务）为我方 “”项目（招标编号：</w:t>
      </w:r>
      <w:r>
        <w:rPr>
          <w:rFonts w:hint="eastAsia" w:ascii="宋体" w:hAnsi="宋体" w:cs="宋体"/>
          <w:color w:val="auto"/>
          <w:highlight w:val="none"/>
          <w:u w:val="single"/>
        </w:rPr>
        <w:t xml:space="preserve">             </w:t>
      </w:r>
      <w:r>
        <w:rPr>
          <w:rFonts w:hint="eastAsia" w:ascii="宋体" w:hAnsi="宋体" w:cs="宋体"/>
          <w:color w:val="auto"/>
          <w:highlight w:val="none"/>
        </w:rPr>
        <w:t>）；投标活动的合法代表，以我方名义全权处理该项目有关投标、签订合同以及执行合同等一切事宜。</w:t>
      </w:r>
    </w:p>
    <w:p w14:paraId="2ABD711C">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特此声明。</w:t>
      </w:r>
    </w:p>
    <w:p w14:paraId="0D55701A">
      <w:pPr>
        <w:pStyle w:val="27"/>
        <w:rPr>
          <w:rFonts w:hint="eastAsia" w:ascii="宋体" w:hAnsi="宋体" w:cs="宋体"/>
          <w:color w:val="auto"/>
          <w:highlight w:val="none"/>
        </w:rPr>
      </w:pPr>
    </w:p>
    <w:p w14:paraId="684BCE0B">
      <w:pPr>
        <w:pStyle w:val="27"/>
        <w:rPr>
          <w:rFonts w:hint="eastAsia" w:ascii="宋体" w:hAnsi="宋体" w:cs="宋体"/>
          <w:color w:val="auto"/>
          <w:highlight w:val="none"/>
        </w:rPr>
      </w:pPr>
    </w:p>
    <w:p w14:paraId="026274FE">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法定代表人签字或盖法定代表人名章：</w:t>
      </w:r>
    </w:p>
    <w:p w14:paraId="2659CBA9">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授权代表人（签字）：</w:t>
      </w:r>
    </w:p>
    <w:p w14:paraId="7DC6AA12">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投标人名称（盖单位公章）：</w:t>
      </w:r>
    </w:p>
    <w:p w14:paraId="06CEF2A0">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日    期：</w:t>
      </w:r>
    </w:p>
    <w:p w14:paraId="2B99DDC1">
      <w:pPr>
        <w:pStyle w:val="27"/>
        <w:rPr>
          <w:rFonts w:hint="eastAsia" w:hAnsi="宋体"/>
          <w:color w:val="auto"/>
          <w:highlight w:val="none"/>
        </w:rPr>
      </w:pPr>
    </w:p>
    <w:p w14:paraId="3D206F40">
      <w:pPr>
        <w:pStyle w:val="27"/>
        <w:rPr>
          <w:rFonts w:hint="eastAsia" w:hAnsi="宋体"/>
          <w:color w:val="auto"/>
          <w:highlight w:val="none"/>
        </w:rPr>
      </w:pPr>
    </w:p>
    <w:p w14:paraId="29DEBE0C">
      <w:pPr>
        <w:pStyle w:val="27"/>
        <w:rPr>
          <w:rFonts w:hint="eastAsia" w:hAnsi="宋体"/>
          <w:color w:val="auto"/>
          <w:highlight w:val="none"/>
        </w:rPr>
      </w:pPr>
    </w:p>
    <w:p w14:paraId="32917869">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注：（1）法定代表人不参与投标而委托代理人投标适用。</w:t>
      </w:r>
    </w:p>
    <w:p w14:paraId="3B4EDE85">
      <w:pPr>
        <w:keepNext w:val="0"/>
        <w:keepLines w:val="0"/>
        <w:pageBreakBefore w:val="0"/>
        <w:widowControl/>
        <w:kinsoku/>
        <w:wordWrap/>
        <w:overflowPunct/>
        <w:topLinePunct w:val="0"/>
        <w:autoSpaceDE/>
        <w:autoSpaceDN/>
        <w:bidi w:val="0"/>
        <w:adjustRightInd w:val="0"/>
        <w:snapToGrid w:val="0"/>
        <w:spacing w:line="360" w:lineRule="auto"/>
        <w:ind w:firstLine="960" w:firstLineChars="400"/>
        <w:textAlignment w:val="auto"/>
        <w:rPr>
          <w:rFonts w:hint="eastAsia" w:ascii="宋体" w:hAnsi="宋体" w:cs="宋体"/>
          <w:color w:val="auto"/>
          <w:highlight w:val="none"/>
        </w:rPr>
        <w:sectPr>
          <w:footerReference r:id="rId12" w:type="first"/>
          <w:pgSz w:w="11907" w:h="16840"/>
          <w:pgMar w:top="1440" w:right="1080" w:bottom="1440" w:left="1080"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ascii="宋体" w:hAnsi="宋体" w:cs="宋体"/>
          <w:color w:val="auto"/>
          <w:highlight w:val="none"/>
        </w:rPr>
        <w:t>（2）附法定代表人、授权代表身份证复印件加盖投标人公章。</w:t>
      </w:r>
    </w:p>
    <w:p w14:paraId="60091ED5">
      <w:pPr>
        <w:pStyle w:val="3"/>
        <w:keepLines w:val="0"/>
        <w:pageBreakBefore w:val="0"/>
        <w:widowControl/>
        <w:kinsoku/>
        <w:wordWrap/>
        <w:overflowPunct/>
        <w:topLinePunct w:val="0"/>
        <w:autoSpaceDE/>
        <w:autoSpaceDN/>
        <w:bidi w:val="0"/>
        <w:spacing w:line="480" w:lineRule="auto"/>
        <w:textAlignment w:val="auto"/>
        <w:rPr>
          <w:rFonts w:hint="eastAsia"/>
          <w:color w:val="auto"/>
          <w:sz w:val="32"/>
          <w:szCs w:val="32"/>
          <w:highlight w:val="none"/>
          <w:lang w:val="en-US" w:eastAsia="zh-CN"/>
        </w:rPr>
      </w:pPr>
      <w:r>
        <w:rPr>
          <w:rFonts w:hint="eastAsia"/>
          <w:color w:val="auto"/>
          <w:sz w:val="32"/>
          <w:szCs w:val="32"/>
          <w:highlight w:val="none"/>
          <w:lang w:val="en-US" w:eastAsia="zh-CN"/>
        </w:rPr>
        <w:t>四、法定代表人身份证明</w:t>
      </w:r>
    </w:p>
    <w:p w14:paraId="2A669512">
      <w:pPr>
        <w:keepNext w:val="0"/>
        <w:keepLines w:val="0"/>
        <w:pageBreakBefore w:val="0"/>
        <w:widowControl/>
        <w:kinsoku/>
        <w:wordWrap/>
        <w:overflowPunct/>
        <w:topLinePunct w:val="0"/>
        <w:autoSpaceDE/>
        <w:autoSpaceDN/>
        <w:bidi w:val="0"/>
        <w:adjustRightInd w:val="0"/>
        <w:snapToGrid w:val="0"/>
        <w:spacing w:line="480" w:lineRule="auto"/>
        <w:ind w:firstLine="480" w:firstLineChars="200"/>
        <w:textAlignment w:val="auto"/>
        <w:rPr>
          <w:rFonts w:hint="default" w:ascii="宋体" w:hAnsi="宋体" w:cs="宋体"/>
          <w:color w:val="auto"/>
          <w:highlight w:val="none"/>
          <w:u w:val="single"/>
          <w:lang w:val="en-US" w:eastAsia="zh-CN"/>
        </w:rPr>
      </w:pPr>
      <w:r>
        <w:rPr>
          <w:rFonts w:hint="eastAsia" w:ascii="宋体" w:hAnsi="宋体" w:cs="宋体"/>
          <w:color w:val="auto"/>
          <w:highlight w:val="none"/>
          <w:u w:val="none"/>
        </w:rPr>
        <w:t>投标人名称</w:t>
      </w:r>
      <w:r>
        <w:rPr>
          <w:rFonts w:hint="eastAsia" w:ascii="宋体" w:hAnsi="宋体" w:cs="宋体"/>
          <w:color w:val="auto"/>
          <w:highlight w:val="none"/>
          <w:u w:val="none"/>
          <w:lang w:val="en-US" w:eastAsia="zh-CN"/>
        </w:rPr>
        <w:t>:</w:t>
      </w:r>
      <w:r>
        <w:rPr>
          <w:rFonts w:hint="eastAsia" w:ascii="宋体" w:hAnsi="宋体" w:cs="宋体"/>
          <w:color w:val="auto"/>
          <w:highlight w:val="none"/>
          <w:u w:val="single"/>
          <w:lang w:val="en-US" w:eastAsia="zh-CN"/>
        </w:rPr>
        <w:t xml:space="preserve">                           ；</w:t>
      </w:r>
    </w:p>
    <w:p w14:paraId="66F4CC64">
      <w:pPr>
        <w:keepNext w:val="0"/>
        <w:keepLines w:val="0"/>
        <w:pageBreakBefore w:val="0"/>
        <w:widowControl/>
        <w:kinsoku/>
        <w:wordWrap/>
        <w:overflowPunct/>
        <w:topLinePunct w:val="0"/>
        <w:autoSpaceDE/>
        <w:autoSpaceDN/>
        <w:bidi w:val="0"/>
        <w:adjustRightInd w:val="0"/>
        <w:snapToGrid w:val="0"/>
        <w:spacing w:line="480" w:lineRule="auto"/>
        <w:ind w:firstLine="480" w:firstLineChars="200"/>
        <w:textAlignment w:val="auto"/>
        <w:rPr>
          <w:rFonts w:hint="eastAsia" w:ascii="宋体" w:hAnsi="宋体" w:cs="宋体"/>
          <w:color w:val="auto"/>
          <w:highlight w:val="none"/>
          <w:u w:val="none"/>
        </w:rPr>
      </w:pPr>
      <w:r>
        <w:rPr>
          <w:rFonts w:hint="eastAsia" w:ascii="宋体" w:hAnsi="宋体" w:cs="宋体"/>
          <w:color w:val="auto"/>
          <w:highlight w:val="none"/>
          <w:u w:val="none"/>
        </w:rPr>
        <w:t>单位性质：</w:t>
      </w:r>
      <w:r>
        <w:rPr>
          <w:rFonts w:hint="eastAsia" w:ascii="宋体" w:hAnsi="宋体" w:cs="宋体"/>
          <w:color w:val="auto"/>
          <w:highlight w:val="none"/>
          <w:u w:val="single"/>
          <w:lang w:val="en-US" w:eastAsia="zh-CN"/>
        </w:rPr>
        <w:t xml:space="preserve">                           ；</w:t>
      </w:r>
    </w:p>
    <w:p w14:paraId="7DD5B3F4">
      <w:pPr>
        <w:keepNext w:val="0"/>
        <w:keepLines w:val="0"/>
        <w:pageBreakBefore w:val="0"/>
        <w:widowControl/>
        <w:kinsoku/>
        <w:wordWrap/>
        <w:overflowPunct/>
        <w:topLinePunct w:val="0"/>
        <w:autoSpaceDE/>
        <w:autoSpaceDN/>
        <w:bidi w:val="0"/>
        <w:adjustRightInd w:val="0"/>
        <w:snapToGrid w:val="0"/>
        <w:spacing w:line="480" w:lineRule="auto"/>
        <w:ind w:firstLine="480" w:firstLineChars="200"/>
        <w:textAlignment w:val="auto"/>
        <w:rPr>
          <w:rFonts w:hint="eastAsia" w:ascii="宋体" w:hAnsi="宋体" w:cs="宋体"/>
          <w:color w:val="auto"/>
          <w:highlight w:val="none"/>
          <w:u w:val="none"/>
        </w:rPr>
      </w:pPr>
      <w:r>
        <w:rPr>
          <w:rFonts w:hint="eastAsia" w:ascii="宋体" w:hAnsi="宋体" w:cs="宋体"/>
          <w:color w:val="auto"/>
          <w:highlight w:val="none"/>
          <w:u w:val="none"/>
        </w:rPr>
        <w:t>地址：</w:t>
      </w:r>
      <w:r>
        <w:rPr>
          <w:rFonts w:hint="eastAsia" w:ascii="宋体" w:hAnsi="宋体" w:cs="宋体"/>
          <w:color w:val="auto"/>
          <w:highlight w:val="none"/>
          <w:u w:val="single"/>
          <w:lang w:val="en-US" w:eastAsia="zh-CN"/>
        </w:rPr>
        <w:t xml:space="preserve">                           ；</w:t>
      </w:r>
    </w:p>
    <w:p w14:paraId="0150AA99">
      <w:pPr>
        <w:keepNext w:val="0"/>
        <w:keepLines w:val="0"/>
        <w:pageBreakBefore w:val="0"/>
        <w:widowControl/>
        <w:kinsoku/>
        <w:wordWrap/>
        <w:overflowPunct/>
        <w:topLinePunct w:val="0"/>
        <w:autoSpaceDE/>
        <w:autoSpaceDN/>
        <w:bidi w:val="0"/>
        <w:adjustRightInd w:val="0"/>
        <w:snapToGrid w:val="0"/>
        <w:spacing w:line="480" w:lineRule="auto"/>
        <w:ind w:firstLine="480" w:firstLineChars="200"/>
        <w:textAlignment w:val="auto"/>
        <w:rPr>
          <w:rFonts w:hint="eastAsia" w:ascii="宋体" w:hAnsi="宋体" w:cs="宋体"/>
          <w:color w:val="auto"/>
          <w:highlight w:val="none"/>
          <w:u w:val="none"/>
        </w:rPr>
      </w:pPr>
      <w:r>
        <w:rPr>
          <w:rFonts w:hint="eastAsia" w:ascii="宋体" w:hAnsi="宋体" w:cs="宋体"/>
          <w:color w:val="auto"/>
          <w:highlight w:val="none"/>
          <w:u w:val="none"/>
        </w:rPr>
        <w:t>成立时间：</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none"/>
        </w:rPr>
        <w:t>年</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none"/>
        </w:rPr>
        <w:t>月</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none"/>
        </w:rPr>
        <w:t>日</w:t>
      </w:r>
    </w:p>
    <w:p w14:paraId="4571B9E7">
      <w:pPr>
        <w:keepNext w:val="0"/>
        <w:keepLines w:val="0"/>
        <w:pageBreakBefore w:val="0"/>
        <w:widowControl/>
        <w:kinsoku/>
        <w:wordWrap/>
        <w:overflowPunct/>
        <w:topLinePunct w:val="0"/>
        <w:autoSpaceDE/>
        <w:autoSpaceDN/>
        <w:bidi w:val="0"/>
        <w:adjustRightInd w:val="0"/>
        <w:snapToGrid w:val="0"/>
        <w:spacing w:line="480" w:lineRule="auto"/>
        <w:ind w:firstLine="480" w:firstLineChars="200"/>
        <w:textAlignment w:val="auto"/>
        <w:rPr>
          <w:rFonts w:hint="eastAsia" w:ascii="宋体" w:hAnsi="宋体" w:cs="宋体"/>
          <w:color w:val="auto"/>
          <w:highlight w:val="none"/>
          <w:u w:val="none"/>
        </w:rPr>
      </w:pPr>
      <w:r>
        <w:rPr>
          <w:rFonts w:hint="eastAsia" w:ascii="宋体" w:hAnsi="宋体" w:cs="宋体"/>
          <w:color w:val="auto"/>
          <w:highlight w:val="none"/>
          <w:u w:val="none"/>
        </w:rPr>
        <w:t>经营期限：</w:t>
      </w:r>
      <w:r>
        <w:rPr>
          <w:rFonts w:hint="eastAsia" w:ascii="宋体" w:hAnsi="宋体" w:cs="宋体"/>
          <w:color w:val="auto"/>
          <w:highlight w:val="none"/>
          <w:u w:val="single"/>
          <w:lang w:val="en-US" w:eastAsia="zh-CN"/>
        </w:rPr>
        <w:t xml:space="preserve">                           ；</w:t>
      </w:r>
    </w:p>
    <w:p w14:paraId="5B853099">
      <w:pPr>
        <w:pStyle w:val="27"/>
        <w:rPr>
          <w:rFonts w:hint="eastAsia" w:hAnsi="宋体"/>
          <w:color w:val="auto"/>
          <w:highlight w:val="none"/>
        </w:rPr>
      </w:pPr>
    </w:p>
    <w:p w14:paraId="1BDA60A0">
      <w:pPr>
        <w:pStyle w:val="27"/>
        <w:rPr>
          <w:rFonts w:hint="eastAsia" w:hAnsi="宋体"/>
          <w:color w:val="auto"/>
          <w:highlight w:val="none"/>
        </w:rPr>
      </w:pPr>
    </w:p>
    <w:p w14:paraId="38FA1124">
      <w:pPr>
        <w:keepNext w:val="0"/>
        <w:keepLines w:val="0"/>
        <w:pageBreakBefore w:val="0"/>
        <w:widowControl/>
        <w:kinsoku/>
        <w:wordWrap/>
        <w:overflowPunct/>
        <w:topLinePunct w:val="0"/>
        <w:autoSpaceDE/>
        <w:autoSpaceDN/>
        <w:bidi w:val="0"/>
        <w:adjustRightInd w:val="0"/>
        <w:snapToGrid w:val="0"/>
        <w:spacing w:line="480" w:lineRule="auto"/>
        <w:ind w:firstLine="480" w:firstLineChars="200"/>
        <w:textAlignment w:val="auto"/>
        <w:rPr>
          <w:rFonts w:hint="eastAsia" w:ascii="宋体" w:hAnsi="宋体" w:cs="宋体"/>
          <w:color w:val="auto"/>
          <w:highlight w:val="none"/>
          <w:u w:val="none"/>
        </w:rPr>
      </w:pPr>
      <w:r>
        <w:rPr>
          <w:rFonts w:hint="eastAsia" w:ascii="宋体" w:hAnsi="宋体" w:cs="宋体"/>
          <w:color w:val="auto"/>
          <w:highlight w:val="none"/>
          <w:u w:val="none"/>
        </w:rPr>
        <w:t>姓名：</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none"/>
        </w:rPr>
        <w:t>系</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none"/>
        </w:rPr>
        <w:t>（投标人名称）的法定代表人（职务：</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none"/>
        </w:rPr>
        <w:t>电话：</w:t>
      </w:r>
      <w:r>
        <w:rPr>
          <w:rFonts w:hint="eastAsia" w:ascii="宋体" w:hAnsi="宋体" w:cs="宋体"/>
          <w:color w:val="auto"/>
          <w:highlight w:val="none"/>
          <w:u w:val="single"/>
          <w:lang w:val="en-US" w:eastAsia="zh-CN"/>
        </w:rPr>
        <w:t xml:space="preserve">            </w:t>
      </w:r>
      <w:r>
        <w:rPr>
          <w:rFonts w:hint="eastAsia" w:ascii="宋体" w:hAnsi="宋体" w:cs="宋体"/>
          <w:color w:val="auto"/>
          <w:highlight w:val="none"/>
          <w:u w:val="none"/>
        </w:rPr>
        <w:t>）。</w:t>
      </w:r>
    </w:p>
    <w:p w14:paraId="0A4D0B2A">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p>
    <w:p w14:paraId="0DFCC432">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特此证明。</w:t>
      </w:r>
    </w:p>
    <w:p w14:paraId="1DBA60D4">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p>
    <w:p w14:paraId="6BFB6843">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附：法定代表人身份证复印件</w:t>
      </w:r>
    </w:p>
    <w:p w14:paraId="60FF4DF0">
      <w:pPr>
        <w:keepLines w:val="0"/>
        <w:pageBreakBefore w:val="0"/>
        <w:kinsoku/>
        <w:overflowPunct/>
        <w:bidi w:val="0"/>
        <w:adjustRightInd w:val="0"/>
        <w:snapToGrid w:val="0"/>
        <w:spacing w:line="360" w:lineRule="auto"/>
        <w:ind w:firstLine="480" w:firstLineChars="200"/>
        <w:rPr>
          <w:rFonts w:hAnsi="宋体" w:cs="宋体"/>
          <w:color w:val="auto"/>
          <w:highlight w:val="none"/>
        </w:rPr>
      </w:pPr>
    </w:p>
    <w:p w14:paraId="0B797CC4">
      <w:pPr>
        <w:keepLines w:val="0"/>
        <w:pageBreakBefore w:val="0"/>
        <w:kinsoku/>
        <w:overflowPunct/>
        <w:bidi w:val="0"/>
        <w:adjustRightInd w:val="0"/>
        <w:snapToGrid w:val="0"/>
        <w:spacing w:line="360" w:lineRule="auto"/>
        <w:ind w:firstLine="480" w:firstLineChars="200"/>
        <w:rPr>
          <w:rFonts w:hAnsi="宋体" w:cs="宋体"/>
          <w:color w:val="auto"/>
          <w:highlight w:val="none"/>
        </w:rPr>
      </w:pPr>
    </w:p>
    <w:p w14:paraId="4366B703">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投标人名称（盖单位公章）：</w:t>
      </w:r>
    </w:p>
    <w:p w14:paraId="5B482119">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法定代表人签字或者加盖法定代表人名章：</w:t>
      </w:r>
    </w:p>
    <w:p w14:paraId="71C54B4B">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日    期：</w:t>
      </w:r>
    </w:p>
    <w:p w14:paraId="1E952D27">
      <w:pPr>
        <w:keepLines w:val="0"/>
        <w:pageBreakBefore w:val="0"/>
        <w:kinsoku/>
        <w:overflowPunct/>
        <w:bidi w:val="0"/>
        <w:adjustRightInd w:val="0"/>
        <w:snapToGrid w:val="0"/>
        <w:spacing w:line="360" w:lineRule="auto"/>
        <w:ind w:firstLine="480" w:firstLineChars="200"/>
        <w:rPr>
          <w:rFonts w:hAnsi="宋体" w:cs="宋体"/>
          <w:color w:val="auto"/>
          <w:highlight w:val="none"/>
        </w:rPr>
      </w:pPr>
    </w:p>
    <w:p w14:paraId="10C49C86">
      <w:pPr>
        <w:keepLines w:val="0"/>
        <w:pageBreakBefore w:val="0"/>
        <w:kinsoku/>
        <w:overflowPunct/>
        <w:bidi w:val="0"/>
        <w:adjustRightInd w:val="0"/>
        <w:snapToGrid w:val="0"/>
        <w:spacing w:line="360" w:lineRule="auto"/>
        <w:ind w:firstLine="480" w:firstLineChars="200"/>
        <w:rPr>
          <w:rFonts w:hAnsi="宋体" w:cs="宋体"/>
          <w:color w:val="auto"/>
          <w:highlight w:val="none"/>
        </w:rPr>
      </w:pPr>
    </w:p>
    <w:p w14:paraId="013AB008">
      <w:pPr>
        <w:keepLines w:val="0"/>
        <w:pageBreakBefore w:val="0"/>
        <w:kinsoku/>
        <w:overflowPunct/>
        <w:bidi w:val="0"/>
        <w:adjustRightInd w:val="0"/>
        <w:snapToGrid w:val="0"/>
        <w:spacing w:line="360" w:lineRule="auto"/>
        <w:ind w:firstLine="480" w:firstLineChars="200"/>
        <w:rPr>
          <w:rFonts w:hAnsi="宋体" w:cs="宋体"/>
          <w:color w:val="auto"/>
          <w:highlight w:val="none"/>
        </w:rPr>
      </w:pPr>
    </w:p>
    <w:p w14:paraId="28A1022B">
      <w:pPr>
        <w:keepLines w:val="0"/>
        <w:pageBreakBefore w:val="0"/>
        <w:kinsoku/>
        <w:overflowPunct/>
        <w:bidi w:val="0"/>
        <w:adjustRightInd w:val="0"/>
        <w:snapToGrid w:val="0"/>
        <w:spacing w:line="360" w:lineRule="auto"/>
        <w:ind w:firstLine="482" w:firstLineChars="200"/>
        <w:rPr>
          <w:rFonts w:hint="eastAsia" w:ascii="宋体" w:hAnsi="宋体" w:cs="宋体"/>
          <w:b/>
          <w:bCs/>
          <w:color w:val="auto"/>
          <w:highlight w:val="none"/>
        </w:rPr>
        <w:sectPr>
          <w:headerReference r:id="rId13" w:type="first"/>
          <w:footerReference r:id="rId14" w:type="first"/>
          <w:pgSz w:w="11907" w:h="16840"/>
          <w:pgMar w:top="1440" w:right="1080" w:bottom="1440" w:left="1080"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ascii="宋体" w:hAnsi="宋体" w:cs="宋体"/>
          <w:b/>
          <w:bCs/>
          <w:color w:val="auto"/>
          <w:highlight w:val="none"/>
        </w:rPr>
        <w:t>注：：法定代表人投标而非委托代理人投标适用。</w:t>
      </w:r>
      <w:bookmarkStart w:id="136" w:name="_Toc217446086"/>
    </w:p>
    <w:p w14:paraId="30AA3386">
      <w:pPr>
        <w:pStyle w:val="3"/>
        <w:keepLines w:val="0"/>
        <w:pageBreakBefore w:val="0"/>
        <w:widowControl/>
        <w:kinsoku/>
        <w:wordWrap/>
        <w:overflowPunct/>
        <w:topLinePunct w:val="0"/>
        <w:autoSpaceDE/>
        <w:autoSpaceDN/>
        <w:bidi w:val="0"/>
        <w:spacing w:line="480" w:lineRule="auto"/>
        <w:textAlignment w:val="auto"/>
        <w:rPr>
          <w:rFonts w:hint="eastAsia"/>
          <w:color w:val="auto"/>
          <w:sz w:val="32"/>
          <w:szCs w:val="32"/>
          <w:highlight w:val="none"/>
          <w:lang w:val="en-US" w:eastAsia="zh-CN"/>
        </w:rPr>
      </w:pPr>
      <w:r>
        <w:rPr>
          <w:rFonts w:hint="eastAsia"/>
          <w:color w:val="auto"/>
          <w:sz w:val="32"/>
          <w:szCs w:val="32"/>
          <w:highlight w:val="none"/>
          <w:lang w:val="en-US" w:eastAsia="zh-CN"/>
        </w:rPr>
        <w:t>五、开标一览表</w:t>
      </w:r>
    </w:p>
    <w:p w14:paraId="090C1134">
      <w:pPr>
        <w:keepLines w:val="0"/>
        <w:pageBreakBefore w:val="0"/>
        <w:kinsoku/>
        <w:overflowPunct/>
        <w:bidi w:val="0"/>
        <w:spacing w:line="360" w:lineRule="auto"/>
        <w:rPr>
          <w:rFonts w:hAnsi="宋体"/>
          <w:b/>
          <w:bCs/>
          <w:color w:val="auto"/>
          <w:highlight w:val="none"/>
        </w:rPr>
      </w:pPr>
      <w:r>
        <w:rPr>
          <w:rFonts w:hint="eastAsia" w:hAnsi="宋体"/>
          <w:b/>
          <w:color w:val="auto"/>
          <w:highlight w:val="none"/>
        </w:rPr>
        <w:t xml:space="preserve">   项目名称：        招标编号： </w:t>
      </w:r>
    </w:p>
    <w:tbl>
      <w:tblPr>
        <w:tblStyle w:val="47"/>
        <w:tblW w:w="15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2659"/>
        <w:gridCol w:w="4037"/>
        <w:gridCol w:w="2977"/>
        <w:gridCol w:w="1559"/>
        <w:gridCol w:w="1774"/>
        <w:gridCol w:w="1282"/>
      </w:tblGrid>
      <w:tr w14:paraId="08685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jc w:val="center"/>
        </w:trPr>
        <w:tc>
          <w:tcPr>
            <w:tcW w:w="783" w:type="dxa"/>
            <w:noWrap/>
            <w:vAlign w:val="center"/>
          </w:tcPr>
          <w:p w14:paraId="503A3A63">
            <w:pPr>
              <w:keepLines w:val="0"/>
              <w:pageBreakBefore w:val="0"/>
              <w:kinsoku/>
              <w:overflowPunct/>
              <w:bidi w:val="0"/>
              <w:spacing w:line="360" w:lineRule="auto"/>
              <w:jc w:val="center"/>
              <w:rPr>
                <w:rFonts w:hAnsi="宋体"/>
                <w:b/>
                <w:color w:val="auto"/>
                <w:highlight w:val="none"/>
              </w:rPr>
            </w:pPr>
            <w:r>
              <w:rPr>
                <w:rFonts w:hint="eastAsia" w:hAnsi="宋体"/>
                <w:b/>
                <w:color w:val="auto"/>
                <w:highlight w:val="none"/>
              </w:rPr>
              <w:t>序号</w:t>
            </w:r>
          </w:p>
        </w:tc>
        <w:tc>
          <w:tcPr>
            <w:tcW w:w="2659" w:type="dxa"/>
            <w:noWrap/>
            <w:vAlign w:val="center"/>
          </w:tcPr>
          <w:p w14:paraId="231374B9">
            <w:pPr>
              <w:keepLines w:val="0"/>
              <w:pageBreakBefore w:val="0"/>
              <w:kinsoku/>
              <w:overflowPunct/>
              <w:bidi w:val="0"/>
              <w:spacing w:line="360" w:lineRule="auto"/>
              <w:jc w:val="center"/>
              <w:rPr>
                <w:rFonts w:hAnsi="宋体"/>
                <w:b/>
                <w:color w:val="auto"/>
                <w:highlight w:val="none"/>
              </w:rPr>
            </w:pPr>
            <w:r>
              <w:rPr>
                <w:rFonts w:hint="eastAsia" w:hAnsi="宋体"/>
                <w:b/>
                <w:color w:val="auto"/>
                <w:highlight w:val="none"/>
              </w:rPr>
              <w:t>采购内容</w:t>
            </w:r>
          </w:p>
        </w:tc>
        <w:tc>
          <w:tcPr>
            <w:tcW w:w="4037" w:type="dxa"/>
            <w:noWrap/>
            <w:vAlign w:val="center"/>
          </w:tcPr>
          <w:p w14:paraId="30BD2C7A">
            <w:pPr>
              <w:keepLines w:val="0"/>
              <w:pageBreakBefore w:val="0"/>
              <w:kinsoku/>
              <w:overflowPunct/>
              <w:bidi w:val="0"/>
              <w:spacing w:line="360" w:lineRule="auto"/>
              <w:jc w:val="center"/>
              <w:rPr>
                <w:rFonts w:hAnsi="宋体"/>
                <w:b/>
                <w:color w:val="auto"/>
                <w:highlight w:val="none"/>
              </w:rPr>
            </w:pPr>
            <w:r>
              <w:rPr>
                <w:rFonts w:hint="eastAsia" w:hAnsi="宋体"/>
                <w:b/>
                <w:color w:val="auto"/>
                <w:highlight w:val="none"/>
              </w:rPr>
              <w:t>制造商家及规格型号</w:t>
            </w:r>
          </w:p>
        </w:tc>
        <w:tc>
          <w:tcPr>
            <w:tcW w:w="2977" w:type="dxa"/>
            <w:noWrap/>
            <w:vAlign w:val="center"/>
          </w:tcPr>
          <w:p w14:paraId="1779D97F">
            <w:pPr>
              <w:keepLines w:val="0"/>
              <w:pageBreakBefore w:val="0"/>
              <w:kinsoku/>
              <w:overflowPunct/>
              <w:bidi w:val="0"/>
              <w:spacing w:line="360" w:lineRule="auto"/>
              <w:jc w:val="center"/>
              <w:rPr>
                <w:rFonts w:hAnsi="宋体"/>
                <w:b/>
                <w:color w:val="auto"/>
                <w:highlight w:val="none"/>
              </w:rPr>
            </w:pPr>
            <w:r>
              <w:rPr>
                <w:rFonts w:hint="eastAsia" w:hAnsi="宋体"/>
                <w:b/>
                <w:color w:val="auto"/>
                <w:highlight w:val="none"/>
                <w:lang w:val="en-US" w:eastAsia="zh-CN"/>
              </w:rPr>
              <w:t>投标报价（万元）</w:t>
            </w:r>
          </w:p>
        </w:tc>
        <w:tc>
          <w:tcPr>
            <w:tcW w:w="1559" w:type="dxa"/>
            <w:noWrap/>
            <w:vAlign w:val="center"/>
          </w:tcPr>
          <w:p w14:paraId="7906BC05">
            <w:pPr>
              <w:keepLines w:val="0"/>
              <w:pageBreakBefore w:val="0"/>
              <w:kinsoku/>
              <w:overflowPunct/>
              <w:bidi w:val="0"/>
              <w:spacing w:line="360" w:lineRule="auto"/>
              <w:jc w:val="center"/>
              <w:rPr>
                <w:rFonts w:hAnsi="宋体"/>
                <w:b/>
                <w:color w:val="auto"/>
                <w:highlight w:val="none"/>
              </w:rPr>
            </w:pPr>
            <w:r>
              <w:rPr>
                <w:rFonts w:hint="eastAsia" w:hAnsi="宋体"/>
                <w:b/>
                <w:color w:val="auto"/>
                <w:highlight w:val="none"/>
              </w:rPr>
              <w:t>交付期限</w:t>
            </w:r>
          </w:p>
        </w:tc>
        <w:tc>
          <w:tcPr>
            <w:tcW w:w="1774" w:type="dxa"/>
            <w:noWrap/>
            <w:vAlign w:val="center"/>
          </w:tcPr>
          <w:p w14:paraId="481AEFF5">
            <w:pPr>
              <w:keepLines w:val="0"/>
              <w:pageBreakBefore w:val="0"/>
              <w:kinsoku/>
              <w:overflowPunct/>
              <w:bidi w:val="0"/>
              <w:spacing w:line="360" w:lineRule="auto"/>
              <w:jc w:val="center"/>
              <w:rPr>
                <w:rFonts w:hAnsi="宋体"/>
                <w:b/>
                <w:color w:val="auto"/>
                <w:highlight w:val="none"/>
              </w:rPr>
            </w:pPr>
            <w:r>
              <w:rPr>
                <w:rFonts w:hint="eastAsia" w:hAnsi="宋体"/>
                <w:b/>
                <w:color w:val="auto"/>
                <w:highlight w:val="none"/>
              </w:rPr>
              <w:t>交付地点</w:t>
            </w:r>
          </w:p>
        </w:tc>
        <w:tc>
          <w:tcPr>
            <w:tcW w:w="1282" w:type="dxa"/>
            <w:noWrap/>
            <w:vAlign w:val="center"/>
          </w:tcPr>
          <w:p w14:paraId="2240037F">
            <w:pPr>
              <w:keepLines w:val="0"/>
              <w:pageBreakBefore w:val="0"/>
              <w:kinsoku/>
              <w:overflowPunct/>
              <w:bidi w:val="0"/>
              <w:spacing w:line="360" w:lineRule="auto"/>
              <w:jc w:val="center"/>
              <w:rPr>
                <w:rFonts w:hAnsi="宋体"/>
                <w:b/>
                <w:color w:val="auto"/>
                <w:highlight w:val="none"/>
              </w:rPr>
            </w:pPr>
            <w:r>
              <w:rPr>
                <w:rFonts w:hint="eastAsia" w:hAnsi="宋体"/>
                <w:b/>
                <w:color w:val="auto"/>
                <w:highlight w:val="none"/>
              </w:rPr>
              <w:t>备注</w:t>
            </w:r>
          </w:p>
        </w:tc>
      </w:tr>
      <w:tr w14:paraId="29980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83" w:type="dxa"/>
            <w:noWrap/>
          </w:tcPr>
          <w:p w14:paraId="52BD448E">
            <w:pPr>
              <w:keepLines w:val="0"/>
              <w:pageBreakBefore w:val="0"/>
              <w:kinsoku/>
              <w:overflowPunct/>
              <w:bidi w:val="0"/>
              <w:spacing w:line="360" w:lineRule="auto"/>
              <w:jc w:val="center"/>
              <w:rPr>
                <w:rFonts w:hAnsi="宋体"/>
                <w:b/>
                <w:color w:val="auto"/>
                <w:highlight w:val="none"/>
              </w:rPr>
            </w:pPr>
          </w:p>
        </w:tc>
        <w:tc>
          <w:tcPr>
            <w:tcW w:w="2659" w:type="dxa"/>
            <w:noWrap/>
            <w:vAlign w:val="center"/>
          </w:tcPr>
          <w:p w14:paraId="0EE53801">
            <w:pPr>
              <w:keepLines w:val="0"/>
              <w:pageBreakBefore w:val="0"/>
              <w:kinsoku/>
              <w:overflowPunct/>
              <w:bidi w:val="0"/>
              <w:spacing w:line="360" w:lineRule="auto"/>
              <w:jc w:val="center"/>
              <w:rPr>
                <w:rFonts w:hAnsi="宋体"/>
                <w:b/>
                <w:color w:val="auto"/>
                <w:highlight w:val="none"/>
              </w:rPr>
            </w:pPr>
          </w:p>
        </w:tc>
        <w:tc>
          <w:tcPr>
            <w:tcW w:w="4037" w:type="dxa"/>
            <w:noWrap/>
            <w:vAlign w:val="center"/>
          </w:tcPr>
          <w:p w14:paraId="24EEED9B">
            <w:pPr>
              <w:keepLines w:val="0"/>
              <w:pageBreakBefore w:val="0"/>
              <w:kinsoku/>
              <w:overflowPunct/>
              <w:bidi w:val="0"/>
              <w:spacing w:line="360" w:lineRule="auto"/>
              <w:jc w:val="center"/>
              <w:rPr>
                <w:rFonts w:hAnsi="宋体"/>
                <w:b/>
                <w:color w:val="auto"/>
                <w:highlight w:val="none"/>
              </w:rPr>
            </w:pPr>
          </w:p>
        </w:tc>
        <w:tc>
          <w:tcPr>
            <w:tcW w:w="2977" w:type="dxa"/>
            <w:noWrap/>
            <w:vAlign w:val="center"/>
          </w:tcPr>
          <w:p w14:paraId="62CAD800">
            <w:pPr>
              <w:keepLines w:val="0"/>
              <w:pageBreakBefore w:val="0"/>
              <w:kinsoku/>
              <w:overflowPunct/>
              <w:bidi w:val="0"/>
              <w:spacing w:line="360" w:lineRule="auto"/>
              <w:jc w:val="center"/>
              <w:rPr>
                <w:rFonts w:hAnsi="宋体"/>
                <w:b/>
                <w:color w:val="auto"/>
                <w:highlight w:val="none"/>
              </w:rPr>
            </w:pPr>
          </w:p>
        </w:tc>
        <w:tc>
          <w:tcPr>
            <w:tcW w:w="1559" w:type="dxa"/>
            <w:noWrap/>
            <w:vAlign w:val="center"/>
          </w:tcPr>
          <w:p w14:paraId="21EF8168">
            <w:pPr>
              <w:keepLines w:val="0"/>
              <w:pageBreakBefore w:val="0"/>
              <w:kinsoku/>
              <w:overflowPunct/>
              <w:bidi w:val="0"/>
              <w:spacing w:line="360" w:lineRule="auto"/>
              <w:jc w:val="center"/>
              <w:rPr>
                <w:rFonts w:hAnsi="宋体"/>
                <w:b/>
                <w:color w:val="auto"/>
                <w:highlight w:val="none"/>
              </w:rPr>
            </w:pPr>
          </w:p>
        </w:tc>
        <w:tc>
          <w:tcPr>
            <w:tcW w:w="1774" w:type="dxa"/>
            <w:noWrap/>
            <w:vAlign w:val="center"/>
          </w:tcPr>
          <w:p w14:paraId="0FEE1CD6">
            <w:pPr>
              <w:keepLines w:val="0"/>
              <w:pageBreakBefore w:val="0"/>
              <w:kinsoku/>
              <w:overflowPunct/>
              <w:bidi w:val="0"/>
              <w:spacing w:line="360" w:lineRule="auto"/>
              <w:jc w:val="center"/>
              <w:rPr>
                <w:rFonts w:hAnsi="宋体"/>
                <w:b/>
                <w:color w:val="auto"/>
                <w:highlight w:val="none"/>
              </w:rPr>
            </w:pPr>
          </w:p>
        </w:tc>
        <w:tc>
          <w:tcPr>
            <w:tcW w:w="1282" w:type="dxa"/>
            <w:noWrap/>
            <w:vAlign w:val="center"/>
          </w:tcPr>
          <w:p w14:paraId="43300287">
            <w:pPr>
              <w:keepLines w:val="0"/>
              <w:pageBreakBefore w:val="0"/>
              <w:kinsoku/>
              <w:overflowPunct/>
              <w:bidi w:val="0"/>
              <w:spacing w:line="360" w:lineRule="auto"/>
              <w:jc w:val="center"/>
              <w:rPr>
                <w:rFonts w:hAnsi="宋体"/>
                <w:b/>
                <w:color w:val="auto"/>
                <w:highlight w:val="none"/>
              </w:rPr>
            </w:pPr>
          </w:p>
        </w:tc>
      </w:tr>
      <w:tr w14:paraId="09D56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783" w:type="dxa"/>
            <w:noWrap/>
          </w:tcPr>
          <w:p w14:paraId="3253CA6E">
            <w:pPr>
              <w:keepLines w:val="0"/>
              <w:pageBreakBefore w:val="0"/>
              <w:kinsoku/>
              <w:overflowPunct/>
              <w:bidi w:val="0"/>
              <w:spacing w:line="360" w:lineRule="auto"/>
              <w:jc w:val="center"/>
              <w:rPr>
                <w:rFonts w:hAnsi="宋体"/>
                <w:b/>
                <w:color w:val="auto"/>
                <w:highlight w:val="none"/>
              </w:rPr>
            </w:pPr>
          </w:p>
        </w:tc>
        <w:tc>
          <w:tcPr>
            <w:tcW w:w="2659" w:type="dxa"/>
            <w:noWrap/>
            <w:vAlign w:val="center"/>
          </w:tcPr>
          <w:p w14:paraId="2C1911DD">
            <w:pPr>
              <w:keepLines w:val="0"/>
              <w:pageBreakBefore w:val="0"/>
              <w:kinsoku/>
              <w:overflowPunct/>
              <w:bidi w:val="0"/>
              <w:spacing w:line="360" w:lineRule="auto"/>
              <w:jc w:val="center"/>
              <w:rPr>
                <w:rFonts w:hAnsi="宋体"/>
                <w:b/>
                <w:color w:val="auto"/>
                <w:highlight w:val="none"/>
              </w:rPr>
            </w:pPr>
          </w:p>
        </w:tc>
        <w:tc>
          <w:tcPr>
            <w:tcW w:w="4037" w:type="dxa"/>
            <w:noWrap/>
            <w:vAlign w:val="center"/>
          </w:tcPr>
          <w:p w14:paraId="228D7A02">
            <w:pPr>
              <w:keepLines w:val="0"/>
              <w:pageBreakBefore w:val="0"/>
              <w:kinsoku/>
              <w:overflowPunct/>
              <w:bidi w:val="0"/>
              <w:spacing w:line="360" w:lineRule="auto"/>
              <w:jc w:val="center"/>
              <w:rPr>
                <w:rFonts w:hAnsi="宋体"/>
                <w:b/>
                <w:color w:val="auto"/>
                <w:highlight w:val="none"/>
              </w:rPr>
            </w:pPr>
          </w:p>
        </w:tc>
        <w:tc>
          <w:tcPr>
            <w:tcW w:w="2977" w:type="dxa"/>
            <w:noWrap/>
            <w:vAlign w:val="center"/>
          </w:tcPr>
          <w:p w14:paraId="3F8E5D6C">
            <w:pPr>
              <w:keepLines w:val="0"/>
              <w:pageBreakBefore w:val="0"/>
              <w:kinsoku/>
              <w:overflowPunct/>
              <w:bidi w:val="0"/>
              <w:spacing w:line="360" w:lineRule="auto"/>
              <w:jc w:val="center"/>
              <w:rPr>
                <w:rFonts w:hAnsi="宋体"/>
                <w:b/>
                <w:color w:val="auto"/>
                <w:highlight w:val="none"/>
              </w:rPr>
            </w:pPr>
          </w:p>
        </w:tc>
        <w:tc>
          <w:tcPr>
            <w:tcW w:w="1559" w:type="dxa"/>
            <w:noWrap/>
            <w:vAlign w:val="center"/>
          </w:tcPr>
          <w:p w14:paraId="123DA0FE">
            <w:pPr>
              <w:keepLines w:val="0"/>
              <w:pageBreakBefore w:val="0"/>
              <w:kinsoku/>
              <w:overflowPunct/>
              <w:bidi w:val="0"/>
              <w:spacing w:line="360" w:lineRule="auto"/>
              <w:jc w:val="center"/>
              <w:rPr>
                <w:rFonts w:hAnsi="宋体"/>
                <w:b/>
                <w:color w:val="auto"/>
                <w:highlight w:val="none"/>
              </w:rPr>
            </w:pPr>
          </w:p>
        </w:tc>
        <w:tc>
          <w:tcPr>
            <w:tcW w:w="1774" w:type="dxa"/>
            <w:noWrap/>
            <w:vAlign w:val="center"/>
          </w:tcPr>
          <w:p w14:paraId="688F905E">
            <w:pPr>
              <w:keepLines w:val="0"/>
              <w:pageBreakBefore w:val="0"/>
              <w:kinsoku/>
              <w:overflowPunct/>
              <w:bidi w:val="0"/>
              <w:spacing w:line="360" w:lineRule="auto"/>
              <w:jc w:val="center"/>
              <w:rPr>
                <w:rFonts w:hAnsi="宋体"/>
                <w:b/>
                <w:color w:val="auto"/>
                <w:highlight w:val="none"/>
              </w:rPr>
            </w:pPr>
          </w:p>
        </w:tc>
        <w:tc>
          <w:tcPr>
            <w:tcW w:w="1282" w:type="dxa"/>
            <w:noWrap/>
            <w:vAlign w:val="center"/>
          </w:tcPr>
          <w:p w14:paraId="293B42C2">
            <w:pPr>
              <w:keepLines w:val="0"/>
              <w:pageBreakBefore w:val="0"/>
              <w:kinsoku/>
              <w:overflowPunct/>
              <w:bidi w:val="0"/>
              <w:spacing w:line="360" w:lineRule="auto"/>
              <w:jc w:val="center"/>
              <w:rPr>
                <w:rFonts w:hAnsi="宋体"/>
                <w:b/>
                <w:color w:val="auto"/>
                <w:highlight w:val="none"/>
              </w:rPr>
            </w:pPr>
          </w:p>
        </w:tc>
      </w:tr>
      <w:tr w14:paraId="31E90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5071" w:type="dxa"/>
            <w:gridSpan w:val="7"/>
            <w:noWrap/>
          </w:tcPr>
          <w:p w14:paraId="5087D82D">
            <w:pPr>
              <w:keepLines w:val="0"/>
              <w:pageBreakBefore w:val="0"/>
              <w:kinsoku/>
              <w:overflowPunct/>
              <w:bidi w:val="0"/>
              <w:spacing w:line="360" w:lineRule="auto"/>
              <w:rPr>
                <w:rFonts w:hAnsi="宋体"/>
                <w:b/>
                <w:color w:val="auto"/>
                <w:highlight w:val="none"/>
              </w:rPr>
            </w:pPr>
            <w:r>
              <w:rPr>
                <w:rFonts w:hint="eastAsia" w:hAnsi="宋体"/>
                <w:b/>
                <w:color w:val="auto"/>
                <w:highlight w:val="none"/>
                <w:lang w:val="en-US" w:eastAsia="zh-CN"/>
              </w:rPr>
              <w:t>报价合计</w:t>
            </w:r>
            <w:r>
              <w:rPr>
                <w:rFonts w:hint="eastAsia" w:hAnsi="宋体"/>
                <w:b/>
                <w:color w:val="auto"/>
                <w:highlight w:val="none"/>
              </w:rPr>
              <w:t>（</w:t>
            </w:r>
            <w:r>
              <w:rPr>
                <w:rFonts w:hint="eastAsia" w:hAnsi="宋体"/>
                <w:b/>
                <w:color w:val="auto"/>
                <w:highlight w:val="none"/>
                <w:lang w:val="en-US" w:eastAsia="zh-CN"/>
              </w:rPr>
              <w:t>万元</w:t>
            </w:r>
            <w:r>
              <w:rPr>
                <w:rFonts w:hint="eastAsia" w:hAnsi="宋体"/>
                <w:b/>
                <w:color w:val="auto"/>
                <w:highlight w:val="none"/>
              </w:rPr>
              <w:t>）：                大写：</w:t>
            </w:r>
          </w:p>
        </w:tc>
      </w:tr>
    </w:tbl>
    <w:p w14:paraId="153A4436">
      <w:pPr>
        <w:keepLines w:val="0"/>
        <w:pageBreakBefore w:val="0"/>
        <w:kinsoku/>
        <w:overflowPunct/>
        <w:bidi w:val="0"/>
        <w:adjustRightInd w:val="0"/>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highlight w:val="none"/>
        </w:rPr>
        <w:t>注：</w:t>
      </w:r>
      <w:r>
        <w:rPr>
          <w:rFonts w:hint="eastAsia" w:ascii="宋体" w:hAnsi="宋体" w:cs="宋体"/>
          <w:color w:val="auto"/>
          <w:highlight w:val="none"/>
          <w:lang w:eastAsia="zh-CN"/>
        </w:rPr>
        <w:t>（一）</w:t>
      </w:r>
      <w:r>
        <w:rPr>
          <w:rFonts w:hint="eastAsia" w:ascii="宋体" w:hAnsi="宋体" w:cs="宋体"/>
          <w:color w:val="auto"/>
          <w:highlight w:val="none"/>
        </w:rPr>
        <w:t>报价应是最终用户验收合格后的总价，包括</w:t>
      </w:r>
      <w:r>
        <w:rPr>
          <w:rFonts w:hint="eastAsia"/>
          <w:color w:val="auto"/>
          <w:highlight w:val="none"/>
        </w:rPr>
        <w:t>人员、差旅、场地、培训、税金和保险等费用</w:t>
      </w:r>
      <w:r>
        <w:rPr>
          <w:rFonts w:hint="eastAsia" w:ascii="宋体" w:hAnsi="宋体" w:cs="宋体"/>
          <w:color w:val="auto"/>
          <w:highlight w:val="none"/>
        </w:rPr>
        <w:t>和招标文件规定的其它费用。</w:t>
      </w:r>
    </w:p>
    <w:p w14:paraId="7700A4A6">
      <w:pPr>
        <w:keepNext w:val="0"/>
        <w:keepLines w:val="0"/>
        <w:pageBreakBefore w:val="0"/>
        <w:widowControl/>
        <w:kinsoku/>
        <w:wordWrap/>
        <w:overflowPunct/>
        <w:topLinePunct w:val="0"/>
        <w:autoSpaceDE/>
        <w:autoSpaceDN/>
        <w:bidi w:val="0"/>
        <w:adjustRightInd w:val="0"/>
        <w:snapToGrid w:val="0"/>
        <w:spacing w:line="360" w:lineRule="auto"/>
        <w:ind w:firstLine="960" w:firstLineChars="400"/>
        <w:textAlignment w:val="auto"/>
        <w:rPr>
          <w:rFonts w:hint="eastAsia" w:ascii="宋体" w:hAnsi="宋体" w:cs="宋体"/>
          <w:color w:val="auto"/>
          <w:highlight w:val="none"/>
        </w:rPr>
      </w:pPr>
      <w:r>
        <w:rPr>
          <w:rFonts w:hint="eastAsia" w:ascii="宋体" w:hAnsi="宋体" w:cs="宋体"/>
          <w:color w:val="auto"/>
          <w:highlight w:val="none"/>
          <w:lang w:eastAsia="zh-CN"/>
        </w:rPr>
        <w:t>（二）</w:t>
      </w:r>
      <w:r>
        <w:rPr>
          <w:rFonts w:hint="eastAsia" w:ascii="宋体" w:hAnsi="宋体" w:cs="宋体"/>
          <w:color w:val="auto"/>
          <w:highlight w:val="none"/>
        </w:rPr>
        <w:t>“开标一览表”为多页的，每页均需由法定代表人或授权代表签字并盖投标人印章。</w:t>
      </w:r>
    </w:p>
    <w:p w14:paraId="26D7409E">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p>
    <w:p w14:paraId="2F900C89">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投标人名称（盖单位公章）：</w:t>
      </w:r>
    </w:p>
    <w:p w14:paraId="43CA06B4">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法定代表人或授权代表（签字）：</w:t>
      </w:r>
    </w:p>
    <w:p w14:paraId="56BAD0D1">
      <w:pPr>
        <w:keepLines w:val="0"/>
        <w:pageBreakBefore w:val="0"/>
        <w:kinsoku/>
        <w:overflowPunct/>
        <w:autoSpaceDE w:val="0"/>
        <w:autoSpaceDN w:val="0"/>
        <w:bidi w:val="0"/>
        <w:snapToGrid w:val="0"/>
        <w:spacing w:line="360" w:lineRule="auto"/>
        <w:ind w:firstLine="480" w:firstLineChars="200"/>
        <w:rPr>
          <w:rFonts w:hAnsi="宋体"/>
          <w:bCs/>
          <w:color w:val="auto"/>
          <w:highlight w:val="none"/>
        </w:rPr>
        <w:sectPr>
          <w:headerReference r:id="rId16" w:type="first"/>
          <w:footerReference r:id="rId17" w:type="first"/>
          <w:headerReference r:id="rId15" w:type="even"/>
          <w:pgSz w:w="16840" w:h="11907" w:orient="landscape"/>
          <w:pgMar w:top="1440" w:right="1080" w:bottom="1440" w:left="1080" w:header="851" w:footer="992" w:gutter="0"/>
          <w:pgBorders>
            <w:top w:val="none" w:sz="0" w:space="0"/>
            <w:left w:val="none" w:sz="0" w:space="0"/>
            <w:bottom w:val="none" w:sz="0" w:space="0"/>
            <w:right w:val="none" w:sz="0" w:space="0"/>
          </w:pgBorders>
          <w:pgNumType w:fmt="decimal"/>
          <w:cols w:space="720" w:num="1"/>
          <w:titlePg/>
          <w:docGrid w:linePitch="312" w:charSpace="0"/>
        </w:sectPr>
      </w:pPr>
      <w:r>
        <w:rPr>
          <w:rFonts w:hint="eastAsia" w:hAnsi="宋体"/>
          <w:color w:val="auto"/>
          <w:highlight w:val="none"/>
        </w:rPr>
        <w:t>日期：</w:t>
      </w:r>
    </w:p>
    <w:bookmarkEnd w:id="136"/>
    <w:p w14:paraId="05E22055">
      <w:pPr>
        <w:pStyle w:val="3"/>
        <w:keepLines w:val="0"/>
        <w:pageBreakBefore w:val="0"/>
        <w:widowControl/>
        <w:kinsoku/>
        <w:wordWrap/>
        <w:overflowPunct/>
        <w:topLinePunct w:val="0"/>
        <w:autoSpaceDE/>
        <w:autoSpaceDN/>
        <w:bidi w:val="0"/>
        <w:spacing w:line="480" w:lineRule="auto"/>
        <w:textAlignment w:val="auto"/>
        <w:rPr>
          <w:rFonts w:hint="eastAsia"/>
          <w:color w:val="auto"/>
          <w:sz w:val="32"/>
          <w:szCs w:val="32"/>
          <w:highlight w:val="none"/>
          <w:lang w:val="en-US" w:eastAsia="zh-CN"/>
        </w:rPr>
      </w:pPr>
      <w:r>
        <w:rPr>
          <w:rFonts w:hint="eastAsia"/>
          <w:color w:val="auto"/>
          <w:sz w:val="32"/>
          <w:szCs w:val="32"/>
          <w:highlight w:val="none"/>
          <w:lang w:val="en-US" w:eastAsia="zh-CN"/>
        </w:rPr>
        <w:t>六、分项报价明细表</w:t>
      </w:r>
    </w:p>
    <w:p w14:paraId="0A380F07">
      <w:pPr>
        <w:keepNext w:val="0"/>
        <w:keepLines w:val="0"/>
        <w:pageBreakBefore w:val="0"/>
        <w:widowControl/>
        <w:kinsoku/>
        <w:wordWrap/>
        <w:overflowPunct/>
        <w:topLinePunct w:val="0"/>
        <w:autoSpaceDE/>
        <w:autoSpaceDN/>
        <w:bidi w:val="0"/>
        <w:spacing w:line="360" w:lineRule="auto"/>
        <w:textAlignment w:val="auto"/>
        <w:rPr>
          <w:rFonts w:hint="eastAsia" w:hAnsi="宋体"/>
          <w:b/>
          <w:color w:val="auto"/>
          <w:highlight w:val="none"/>
        </w:rPr>
      </w:pPr>
      <w:r>
        <w:rPr>
          <w:rFonts w:hint="eastAsia" w:hAnsi="宋体"/>
          <w:b/>
          <w:color w:val="auto"/>
          <w:highlight w:val="none"/>
        </w:rPr>
        <w:t xml:space="preserve">项目名称：   招标编号： </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2041"/>
        <w:gridCol w:w="1360"/>
        <w:gridCol w:w="888"/>
        <w:gridCol w:w="1212"/>
        <w:gridCol w:w="840"/>
        <w:gridCol w:w="1717"/>
        <w:gridCol w:w="843"/>
      </w:tblGrid>
      <w:tr w14:paraId="73BCD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6" w:hRule="exact"/>
          <w:jc w:val="center"/>
        </w:trPr>
        <w:tc>
          <w:tcPr>
            <w:tcW w:w="862" w:type="dxa"/>
            <w:vAlign w:val="center"/>
          </w:tcPr>
          <w:p w14:paraId="499D996F">
            <w:pPr>
              <w:spacing w:line="360" w:lineRule="auto"/>
              <w:jc w:val="center"/>
              <w:outlineLvl w:val="1"/>
              <w:rPr>
                <w:rFonts w:hint="eastAsia" w:asciiTheme="minorEastAsia" w:hAnsiTheme="minorEastAsia" w:eastAsiaTheme="minorEastAsia" w:cstheme="minorEastAsia"/>
                <w:color w:val="auto"/>
                <w:highlight w:val="none"/>
              </w:rPr>
            </w:pPr>
            <w:bookmarkStart w:id="137" w:name="_Toc217446087"/>
            <w:r>
              <w:rPr>
                <w:rFonts w:hint="eastAsia" w:asciiTheme="minorEastAsia" w:hAnsiTheme="minorEastAsia" w:eastAsiaTheme="minorEastAsia" w:cstheme="minorEastAsia"/>
                <w:color w:val="auto"/>
                <w:highlight w:val="none"/>
              </w:rPr>
              <w:t>序号</w:t>
            </w:r>
          </w:p>
        </w:tc>
        <w:tc>
          <w:tcPr>
            <w:tcW w:w="2041" w:type="dxa"/>
            <w:vAlign w:val="center"/>
          </w:tcPr>
          <w:p w14:paraId="3AF52450">
            <w:pPr>
              <w:spacing w:line="360" w:lineRule="auto"/>
              <w:jc w:val="center"/>
              <w:outlineLvl w:val="1"/>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产品名称</w:t>
            </w:r>
          </w:p>
        </w:tc>
        <w:tc>
          <w:tcPr>
            <w:tcW w:w="1360" w:type="dxa"/>
            <w:vAlign w:val="center"/>
          </w:tcPr>
          <w:p w14:paraId="61847D68">
            <w:pPr>
              <w:spacing w:line="360" w:lineRule="auto"/>
              <w:jc w:val="center"/>
              <w:outlineLvl w:val="1"/>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规格型号</w:t>
            </w:r>
          </w:p>
        </w:tc>
        <w:tc>
          <w:tcPr>
            <w:tcW w:w="888" w:type="dxa"/>
            <w:vAlign w:val="center"/>
          </w:tcPr>
          <w:p w14:paraId="55EE4430">
            <w:pPr>
              <w:spacing w:line="360" w:lineRule="auto"/>
              <w:jc w:val="center"/>
              <w:outlineLvl w:val="1"/>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品牌</w:t>
            </w:r>
          </w:p>
        </w:tc>
        <w:tc>
          <w:tcPr>
            <w:tcW w:w="1212" w:type="dxa"/>
            <w:vAlign w:val="center"/>
          </w:tcPr>
          <w:p w14:paraId="5FA114B2">
            <w:pPr>
              <w:spacing w:line="360" w:lineRule="auto"/>
              <w:jc w:val="center"/>
              <w:outlineLvl w:val="1"/>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单位</w:t>
            </w:r>
          </w:p>
        </w:tc>
        <w:tc>
          <w:tcPr>
            <w:tcW w:w="840" w:type="dxa"/>
            <w:vAlign w:val="center"/>
          </w:tcPr>
          <w:p w14:paraId="74DEE985">
            <w:pPr>
              <w:spacing w:line="360" w:lineRule="auto"/>
              <w:jc w:val="center"/>
              <w:outlineLvl w:val="1"/>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数量</w:t>
            </w:r>
          </w:p>
        </w:tc>
        <w:tc>
          <w:tcPr>
            <w:tcW w:w="1717" w:type="dxa"/>
            <w:vAlign w:val="center"/>
          </w:tcPr>
          <w:p w14:paraId="4EB9F116">
            <w:pPr>
              <w:spacing w:line="360" w:lineRule="auto"/>
              <w:jc w:val="center"/>
              <w:outlineLvl w:val="1"/>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投标报价</w:t>
            </w:r>
          </w:p>
          <w:p w14:paraId="7DB0B1BF">
            <w:pPr>
              <w:spacing w:line="360" w:lineRule="auto"/>
              <w:jc w:val="center"/>
              <w:outlineLvl w:val="1"/>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（万元）</w:t>
            </w:r>
          </w:p>
        </w:tc>
        <w:tc>
          <w:tcPr>
            <w:tcW w:w="843" w:type="dxa"/>
            <w:vAlign w:val="center"/>
          </w:tcPr>
          <w:p w14:paraId="2E34545C">
            <w:pPr>
              <w:spacing w:line="360" w:lineRule="auto"/>
              <w:outlineLvl w:val="1"/>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备注</w:t>
            </w:r>
          </w:p>
        </w:tc>
      </w:tr>
      <w:tr w14:paraId="27366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62" w:type="dxa"/>
            <w:vAlign w:val="center"/>
          </w:tcPr>
          <w:p w14:paraId="7597C1EF">
            <w:pPr>
              <w:spacing w:line="360" w:lineRule="auto"/>
              <w:ind w:firstLine="470" w:firstLineChars="196"/>
              <w:outlineLvl w:val="1"/>
              <w:rPr>
                <w:rFonts w:hint="eastAsia" w:asciiTheme="minorEastAsia" w:hAnsiTheme="minorEastAsia" w:eastAsiaTheme="minorEastAsia" w:cstheme="minorEastAsia"/>
                <w:color w:val="auto"/>
                <w:highlight w:val="none"/>
              </w:rPr>
            </w:pPr>
          </w:p>
        </w:tc>
        <w:tc>
          <w:tcPr>
            <w:tcW w:w="2041" w:type="dxa"/>
            <w:vAlign w:val="center"/>
          </w:tcPr>
          <w:p w14:paraId="270AF98A">
            <w:pPr>
              <w:spacing w:line="360" w:lineRule="auto"/>
              <w:ind w:firstLine="470" w:firstLineChars="196"/>
              <w:outlineLvl w:val="1"/>
              <w:rPr>
                <w:rFonts w:hint="eastAsia" w:asciiTheme="minorEastAsia" w:hAnsiTheme="minorEastAsia" w:eastAsiaTheme="minorEastAsia" w:cstheme="minorEastAsia"/>
                <w:color w:val="auto"/>
                <w:highlight w:val="none"/>
              </w:rPr>
            </w:pPr>
          </w:p>
        </w:tc>
        <w:tc>
          <w:tcPr>
            <w:tcW w:w="1360" w:type="dxa"/>
            <w:vAlign w:val="center"/>
          </w:tcPr>
          <w:p w14:paraId="5AA9A6F5">
            <w:pPr>
              <w:spacing w:line="360" w:lineRule="auto"/>
              <w:ind w:firstLine="470" w:firstLineChars="196"/>
              <w:outlineLvl w:val="1"/>
              <w:rPr>
                <w:rFonts w:hint="eastAsia" w:asciiTheme="minorEastAsia" w:hAnsiTheme="minorEastAsia" w:eastAsiaTheme="minorEastAsia" w:cstheme="minorEastAsia"/>
                <w:color w:val="auto"/>
                <w:highlight w:val="none"/>
              </w:rPr>
            </w:pPr>
          </w:p>
        </w:tc>
        <w:tc>
          <w:tcPr>
            <w:tcW w:w="888" w:type="dxa"/>
            <w:vAlign w:val="center"/>
          </w:tcPr>
          <w:p w14:paraId="51A8E143">
            <w:pPr>
              <w:spacing w:line="360" w:lineRule="auto"/>
              <w:ind w:firstLine="470" w:firstLineChars="196"/>
              <w:outlineLvl w:val="1"/>
              <w:rPr>
                <w:rFonts w:hint="eastAsia" w:asciiTheme="minorEastAsia" w:hAnsiTheme="minorEastAsia" w:eastAsiaTheme="minorEastAsia" w:cstheme="minorEastAsia"/>
                <w:color w:val="auto"/>
                <w:highlight w:val="none"/>
              </w:rPr>
            </w:pPr>
          </w:p>
        </w:tc>
        <w:tc>
          <w:tcPr>
            <w:tcW w:w="1212" w:type="dxa"/>
            <w:vAlign w:val="center"/>
          </w:tcPr>
          <w:p w14:paraId="1737F67B">
            <w:pPr>
              <w:spacing w:line="360" w:lineRule="auto"/>
              <w:ind w:firstLine="470" w:firstLineChars="196"/>
              <w:outlineLvl w:val="1"/>
              <w:rPr>
                <w:rFonts w:hint="eastAsia" w:asciiTheme="minorEastAsia" w:hAnsiTheme="minorEastAsia" w:eastAsiaTheme="minorEastAsia" w:cstheme="minorEastAsia"/>
                <w:color w:val="auto"/>
                <w:highlight w:val="none"/>
              </w:rPr>
            </w:pPr>
          </w:p>
        </w:tc>
        <w:tc>
          <w:tcPr>
            <w:tcW w:w="840" w:type="dxa"/>
            <w:vAlign w:val="center"/>
          </w:tcPr>
          <w:p w14:paraId="6A78B521">
            <w:pPr>
              <w:spacing w:line="360" w:lineRule="auto"/>
              <w:outlineLvl w:val="1"/>
              <w:rPr>
                <w:rFonts w:hint="eastAsia" w:asciiTheme="minorEastAsia" w:hAnsiTheme="minorEastAsia" w:eastAsiaTheme="minorEastAsia" w:cstheme="minorEastAsia"/>
                <w:color w:val="auto"/>
                <w:highlight w:val="none"/>
              </w:rPr>
            </w:pPr>
          </w:p>
        </w:tc>
        <w:tc>
          <w:tcPr>
            <w:tcW w:w="1717" w:type="dxa"/>
            <w:vAlign w:val="center"/>
          </w:tcPr>
          <w:p w14:paraId="7E55DD8F">
            <w:pPr>
              <w:spacing w:line="360" w:lineRule="auto"/>
              <w:ind w:firstLine="470" w:firstLineChars="196"/>
              <w:outlineLvl w:val="1"/>
              <w:rPr>
                <w:rFonts w:hint="eastAsia" w:asciiTheme="minorEastAsia" w:hAnsiTheme="minorEastAsia" w:eastAsiaTheme="minorEastAsia" w:cstheme="minorEastAsia"/>
                <w:color w:val="auto"/>
                <w:highlight w:val="none"/>
              </w:rPr>
            </w:pPr>
          </w:p>
        </w:tc>
        <w:tc>
          <w:tcPr>
            <w:tcW w:w="843" w:type="dxa"/>
            <w:vAlign w:val="center"/>
          </w:tcPr>
          <w:p w14:paraId="530C83A2">
            <w:pPr>
              <w:spacing w:line="360" w:lineRule="auto"/>
              <w:ind w:firstLine="470" w:firstLineChars="196"/>
              <w:outlineLvl w:val="1"/>
              <w:rPr>
                <w:rFonts w:hint="eastAsia" w:asciiTheme="minorEastAsia" w:hAnsiTheme="minorEastAsia" w:eastAsiaTheme="minorEastAsia" w:cstheme="minorEastAsia"/>
                <w:color w:val="auto"/>
                <w:highlight w:val="none"/>
              </w:rPr>
            </w:pPr>
          </w:p>
        </w:tc>
      </w:tr>
      <w:tr w14:paraId="2A836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62" w:type="dxa"/>
            <w:vAlign w:val="center"/>
          </w:tcPr>
          <w:p w14:paraId="61E3EEB0">
            <w:pPr>
              <w:spacing w:line="360" w:lineRule="auto"/>
              <w:ind w:firstLine="470" w:firstLineChars="196"/>
              <w:outlineLvl w:val="1"/>
              <w:rPr>
                <w:rFonts w:hint="eastAsia" w:asciiTheme="minorEastAsia" w:hAnsiTheme="minorEastAsia" w:eastAsiaTheme="minorEastAsia" w:cstheme="minorEastAsia"/>
                <w:color w:val="auto"/>
                <w:highlight w:val="none"/>
              </w:rPr>
            </w:pPr>
          </w:p>
        </w:tc>
        <w:tc>
          <w:tcPr>
            <w:tcW w:w="2041" w:type="dxa"/>
            <w:vAlign w:val="center"/>
          </w:tcPr>
          <w:p w14:paraId="00F3909A">
            <w:pPr>
              <w:spacing w:line="360" w:lineRule="auto"/>
              <w:ind w:firstLine="470" w:firstLineChars="196"/>
              <w:outlineLvl w:val="1"/>
              <w:rPr>
                <w:rFonts w:hint="eastAsia" w:asciiTheme="minorEastAsia" w:hAnsiTheme="minorEastAsia" w:eastAsiaTheme="minorEastAsia" w:cstheme="minorEastAsia"/>
                <w:color w:val="auto"/>
                <w:highlight w:val="none"/>
              </w:rPr>
            </w:pPr>
          </w:p>
        </w:tc>
        <w:tc>
          <w:tcPr>
            <w:tcW w:w="1360" w:type="dxa"/>
            <w:vAlign w:val="center"/>
          </w:tcPr>
          <w:p w14:paraId="73ED5191">
            <w:pPr>
              <w:spacing w:line="360" w:lineRule="auto"/>
              <w:ind w:firstLine="470" w:firstLineChars="196"/>
              <w:outlineLvl w:val="1"/>
              <w:rPr>
                <w:rFonts w:hint="eastAsia" w:asciiTheme="minorEastAsia" w:hAnsiTheme="minorEastAsia" w:eastAsiaTheme="minorEastAsia" w:cstheme="minorEastAsia"/>
                <w:color w:val="auto"/>
                <w:highlight w:val="none"/>
              </w:rPr>
            </w:pPr>
          </w:p>
        </w:tc>
        <w:tc>
          <w:tcPr>
            <w:tcW w:w="888" w:type="dxa"/>
            <w:vAlign w:val="center"/>
          </w:tcPr>
          <w:p w14:paraId="6F784066">
            <w:pPr>
              <w:spacing w:line="360" w:lineRule="auto"/>
              <w:ind w:firstLine="470" w:firstLineChars="196"/>
              <w:outlineLvl w:val="1"/>
              <w:rPr>
                <w:rFonts w:hint="eastAsia" w:asciiTheme="minorEastAsia" w:hAnsiTheme="minorEastAsia" w:eastAsiaTheme="minorEastAsia" w:cstheme="minorEastAsia"/>
                <w:color w:val="auto"/>
                <w:highlight w:val="none"/>
              </w:rPr>
            </w:pPr>
          </w:p>
        </w:tc>
        <w:tc>
          <w:tcPr>
            <w:tcW w:w="1212" w:type="dxa"/>
            <w:vAlign w:val="center"/>
          </w:tcPr>
          <w:p w14:paraId="3F8499E8">
            <w:pPr>
              <w:spacing w:line="360" w:lineRule="auto"/>
              <w:ind w:firstLine="470" w:firstLineChars="196"/>
              <w:outlineLvl w:val="1"/>
              <w:rPr>
                <w:rFonts w:hint="eastAsia" w:asciiTheme="minorEastAsia" w:hAnsiTheme="minorEastAsia" w:eastAsiaTheme="minorEastAsia" w:cstheme="minorEastAsia"/>
                <w:color w:val="auto"/>
                <w:highlight w:val="none"/>
              </w:rPr>
            </w:pPr>
          </w:p>
        </w:tc>
        <w:tc>
          <w:tcPr>
            <w:tcW w:w="840" w:type="dxa"/>
            <w:vAlign w:val="center"/>
          </w:tcPr>
          <w:p w14:paraId="22F12E11">
            <w:pPr>
              <w:spacing w:line="360" w:lineRule="auto"/>
              <w:jc w:val="both"/>
              <w:outlineLvl w:val="1"/>
              <w:rPr>
                <w:rFonts w:hint="eastAsia" w:asciiTheme="minorEastAsia" w:hAnsiTheme="minorEastAsia" w:eastAsiaTheme="minorEastAsia" w:cstheme="minorEastAsia"/>
                <w:color w:val="auto"/>
                <w:highlight w:val="none"/>
              </w:rPr>
            </w:pPr>
          </w:p>
        </w:tc>
        <w:tc>
          <w:tcPr>
            <w:tcW w:w="1717" w:type="dxa"/>
            <w:vAlign w:val="center"/>
          </w:tcPr>
          <w:p w14:paraId="0BB45FB7">
            <w:pPr>
              <w:spacing w:line="360" w:lineRule="auto"/>
              <w:ind w:firstLine="470" w:firstLineChars="196"/>
              <w:outlineLvl w:val="1"/>
              <w:rPr>
                <w:rFonts w:hint="eastAsia" w:asciiTheme="minorEastAsia" w:hAnsiTheme="minorEastAsia" w:eastAsiaTheme="minorEastAsia" w:cstheme="minorEastAsia"/>
                <w:color w:val="auto"/>
                <w:highlight w:val="none"/>
              </w:rPr>
            </w:pPr>
          </w:p>
        </w:tc>
        <w:tc>
          <w:tcPr>
            <w:tcW w:w="843" w:type="dxa"/>
            <w:vAlign w:val="center"/>
          </w:tcPr>
          <w:p w14:paraId="0BE08447">
            <w:pPr>
              <w:spacing w:line="360" w:lineRule="auto"/>
              <w:ind w:firstLine="470" w:firstLineChars="196"/>
              <w:outlineLvl w:val="1"/>
              <w:rPr>
                <w:rFonts w:hint="eastAsia" w:asciiTheme="minorEastAsia" w:hAnsiTheme="minorEastAsia" w:eastAsiaTheme="minorEastAsia" w:cstheme="minorEastAsia"/>
                <w:color w:val="auto"/>
                <w:highlight w:val="none"/>
              </w:rPr>
            </w:pPr>
          </w:p>
        </w:tc>
      </w:tr>
      <w:tr w14:paraId="50142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62" w:type="dxa"/>
            <w:vAlign w:val="center"/>
          </w:tcPr>
          <w:p w14:paraId="0ABFF7C5">
            <w:pPr>
              <w:spacing w:line="360" w:lineRule="auto"/>
              <w:ind w:firstLine="470" w:firstLineChars="196"/>
              <w:outlineLvl w:val="1"/>
              <w:rPr>
                <w:rFonts w:hint="eastAsia" w:asciiTheme="minorEastAsia" w:hAnsiTheme="minorEastAsia" w:eastAsiaTheme="minorEastAsia" w:cstheme="minorEastAsia"/>
                <w:color w:val="auto"/>
                <w:highlight w:val="none"/>
              </w:rPr>
            </w:pPr>
          </w:p>
        </w:tc>
        <w:tc>
          <w:tcPr>
            <w:tcW w:w="2041" w:type="dxa"/>
            <w:vAlign w:val="center"/>
          </w:tcPr>
          <w:p w14:paraId="7A55C571">
            <w:pPr>
              <w:spacing w:line="360" w:lineRule="auto"/>
              <w:ind w:firstLine="470" w:firstLineChars="196"/>
              <w:outlineLvl w:val="1"/>
              <w:rPr>
                <w:rFonts w:hint="eastAsia" w:asciiTheme="minorEastAsia" w:hAnsiTheme="minorEastAsia" w:eastAsiaTheme="minorEastAsia" w:cstheme="minorEastAsia"/>
                <w:color w:val="auto"/>
                <w:highlight w:val="none"/>
              </w:rPr>
            </w:pPr>
          </w:p>
        </w:tc>
        <w:tc>
          <w:tcPr>
            <w:tcW w:w="1360" w:type="dxa"/>
            <w:vAlign w:val="center"/>
          </w:tcPr>
          <w:p w14:paraId="08FBF812">
            <w:pPr>
              <w:spacing w:line="360" w:lineRule="auto"/>
              <w:ind w:firstLine="470" w:firstLineChars="196"/>
              <w:outlineLvl w:val="1"/>
              <w:rPr>
                <w:rFonts w:hint="eastAsia" w:asciiTheme="minorEastAsia" w:hAnsiTheme="minorEastAsia" w:eastAsiaTheme="minorEastAsia" w:cstheme="minorEastAsia"/>
                <w:color w:val="auto"/>
                <w:highlight w:val="none"/>
              </w:rPr>
            </w:pPr>
          </w:p>
        </w:tc>
        <w:tc>
          <w:tcPr>
            <w:tcW w:w="888" w:type="dxa"/>
            <w:vAlign w:val="center"/>
          </w:tcPr>
          <w:p w14:paraId="686C44A4">
            <w:pPr>
              <w:spacing w:line="360" w:lineRule="auto"/>
              <w:ind w:firstLine="470" w:firstLineChars="196"/>
              <w:outlineLvl w:val="1"/>
              <w:rPr>
                <w:rFonts w:hint="eastAsia" w:asciiTheme="minorEastAsia" w:hAnsiTheme="minorEastAsia" w:eastAsiaTheme="minorEastAsia" w:cstheme="minorEastAsia"/>
                <w:color w:val="auto"/>
                <w:highlight w:val="none"/>
              </w:rPr>
            </w:pPr>
          </w:p>
        </w:tc>
        <w:tc>
          <w:tcPr>
            <w:tcW w:w="1212" w:type="dxa"/>
            <w:vAlign w:val="center"/>
          </w:tcPr>
          <w:p w14:paraId="17B3FC58">
            <w:pPr>
              <w:spacing w:line="360" w:lineRule="auto"/>
              <w:ind w:firstLine="470" w:firstLineChars="196"/>
              <w:outlineLvl w:val="1"/>
              <w:rPr>
                <w:rFonts w:hint="eastAsia" w:asciiTheme="minorEastAsia" w:hAnsiTheme="minorEastAsia" w:eastAsiaTheme="minorEastAsia" w:cstheme="minorEastAsia"/>
                <w:color w:val="auto"/>
                <w:highlight w:val="none"/>
              </w:rPr>
            </w:pPr>
          </w:p>
        </w:tc>
        <w:tc>
          <w:tcPr>
            <w:tcW w:w="840" w:type="dxa"/>
            <w:vAlign w:val="center"/>
          </w:tcPr>
          <w:p w14:paraId="0F7A6634">
            <w:pPr>
              <w:spacing w:line="360" w:lineRule="auto"/>
              <w:jc w:val="both"/>
              <w:outlineLvl w:val="1"/>
              <w:rPr>
                <w:rFonts w:hint="eastAsia" w:asciiTheme="minorEastAsia" w:hAnsiTheme="minorEastAsia" w:eastAsiaTheme="minorEastAsia" w:cstheme="minorEastAsia"/>
                <w:color w:val="auto"/>
                <w:highlight w:val="none"/>
              </w:rPr>
            </w:pPr>
          </w:p>
        </w:tc>
        <w:tc>
          <w:tcPr>
            <w:tcW w:w="1717" w:type="dxa"/>
            <w:vAlign w:val="center"/>
          </w:tcPr>
          <w:p w14:paraId="2024CD86">
            <w:pPr>
              <w:spacing w:line="360" w:lineRule="auto"/>
              <w:ind w:firstLine="470" w:firstLineChars="196"/>
              <w:outlineLvl w:val="1"/>
              <w:rPr>
                <w:rFonts w:hint="eastAsia" w:asciiTheme="minorEastAsia" w:hAnsiTheme="minorEastAsia" w:eastAsiaTheme="minorEastAsia" w:cstheme="minorEastAsia"/>
                <w:color w:val="auto"/>
                <w:highlight w:val="none"/>
              </w:rPr>
            </w:pPr>
          </w:p>
        </w:tc>
        <w:tc>
          <w:tcPr>
            <w:tcW w:w="843" w:type="dxa"/>
            <w:vAlign w:val="center"/>
          </w:tcPr>
          <w:p w14:paraId="5A174B84">
            <w:pPr>
              <w:spacing w:line="360" w:lineRule="auto"/>
              <w:ind w:firstLine="470" w:firstLineChars="196"/>
              <w:outlineLvl w:val="1"/>
              <w:rPr>
                <w:rFonts w:hint="eastAsia" w:asciiTheme="minorEastAsia" w:hAnsiTheme="minorEastAsia" w:eastAsiaTheme="minorEastAsia" w:cstheme="minorEastAsia"/>
                <w:color w:val="auto"/>
                <w:highlight w:val="none"/>
              </w:rPr>
            </w:pPr>
          </w:p>
        </w:tc>
      </w:tr>
      <w:tr w14:paraId="40F70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62" w:type="dxa"/>
            <w:tcBorders>
              <w:left w:val="single" w:color="auto" w:sz="4" w:space="0"/>
            </w:tcBorders>
            <w:vAlign w:val="center"/>
          </w:tcPr>
          <w:p w14:paraId="52C48409">
            <w:pPr>
              <w:spacing w:line="360" w:lineRule="auto"/>
              <w:ind w:firstLine="470" w:firstLineChars="196"/>
              <w:outlineLvl w:val="1"/>
              <w:rPr>
                <w:rFonts w:hint="eastAsia" w:asciiTheme="minorEastAsia" w:hAnsiTheme="minorEastAsia" w:eastAsiaTheme="minorEastAsia" w:cstheme="minorEastAsia"/>
                <w:color w:val="auto"/>
                <w:highlight w:val="none"/>
              </w:rPr>
            </w:pPr>
          </w:p>
        </w:tc>
        <w:tc>
          <w:tcPr>
            <w:tcW w:w="2041" w:type="dxa"/>
            <w:vAlign w:val="center"/>
          </w:tcPr>
          <w:p w14:paraId="3B008679">
            <w:pPr>
              <w:spacing w:line="360" w:lineRule="auto"/>
              <w:ind w:firstLine="470" w:firstLineChars="196"/>
              <w:outlineLvl w:val="1"/>
              <w:rPr>
                <w:rFonts w:hint="eastAsia" w:asciiTheme="minorEastAsia" w:hAnsiTheme="minorEastAsia" w:eastAsiaTheme="minorEastAsia" w:cstheme="minorEastAsia"/>
                <w:color w:val="auto"/>
                <w:highlight w:val="none"/>
              </w:rPr>
            </w:pPr>
          </w:p>
        </w:tc>
        <w:tc>
          <w:tcPr>
            <w:tcW w:w="1360" w:type="dxa"/>
            <w:vAlign w:val="center"/>
          </w:tcPr>
          <w:p w14:paraId="4CF0331A">
            <w:pPr>
              <w:spacing w:line="360" w:lineRule="auto"/>
              <w:ind w:firstLine="470" w:firstLineChars="196"/>
              <w:outlineLvl w:val="1"/>
              <w:rPr>
                <w:rFonts w:hint="eastAsia" w:asciiTheme="minorEastAsia" w:hAnsiTheme="minorEastAsia" w:eastAsiaTheme="minorEastAsia" w:cstheme="minorEastAsia"/>
                <w:color w:val="auto"/>
                <w:highlight w:val="none"/>
              </w:rPr>
            </w:pPr>
          </w:p>
        </w:tc>
        <w:tc>
          <w:tcPr>
            <w:tcW w:w="888" w:type="dxa"/>
            <w:vAlign w:val="center"/>
          </w:tcPr>
          <w:p w14:paraId="71A408CF">
            <w:pPr>
              <w:spacing w:line="360" w:lineRule="auto"/>
              <w:ind w:firstLine="470" w:firstLineChars="196"/>
              <w:outlineLvl w:val="1"/>
              <w:rPr>
                <w:rFonts w:hint="eastAsia" w:asciiTheme="minorEastAsia" w:hAnsiTheme="minorEastAsia" w:eastAsiaTheme="minorEastAsia" w:cstheme="minorEastAsia"/>
                <w:color w:val="auto"/>
                <w:highlight w:val="none"/>
              </w:rPr>
            </w:pPr>
          </w:p>
        </w:tc>
        <w:tc>
          <w:tcPr>
            <w:tcW w:w="1212" w:type="dxa"/>
            <w:vAlign w:val="center"/>
          </w:tcPr>
          <w:p w14:paraId="3E9D17B5">
            <w:pPr>
              <w:spacing w:line="360" w:lineRule="auto"/>
              <w:ind w:firstLine="470" w:firstLineChars="196"/>
              <w:outlineLvl w:val="1"/>
              <w:rPr>
                <w:rFonts w:hint="eastAsia" w:asciiTheme="minorEastAsia" w:hAnsiTheme="minorEastAsia" w:eastAsiaTheme="minorEastAsia" w:cstheme="minorEastAsia"/>
                <w:color w:val="auto"/>
                <w:highlight w:val="none"/>
              </w:rPr>
            </w:pPr>
          </w:p>
        </w:tc>
        <w:tc>
          <w:tcPr>
            <w:tcW w:w="840" w:type="dxa"/>
            <w:vAlign w:val="center"/>
          </w:tcPr>
          <w:p w14:paraId="5C35B42F">
            <w:pPr>
              <w:spacing w:line="360" w:lineRule="auto"/>
              <w:jc w:val="both"/>
              <w:outlineLvl w:val="1"/>
              <w:rPr>
                <w:rFonts w:hint="eastAsia" w:asciiTheme="minorEastAsia" w:hAnsiTheme="minorEastAsia" w:eastAsiaTheme="minorEastAsia" w:cstheme="minorEastAsia"/>
                <w:color w:val="auto"/>
                <w:highlight w:val="none"/>
              </w:rPr>
            </w:pPr>
          </w:p>
        </w:tc>
        <w:tc>
          <w:tcPr>
            <w:tcW w:w="1717" w:type="dxa"/>
            <w:vAlign w:val="center"/>
          </w:tcPr>
          <w:p w14:paraId="6265299D">
            <w:pPr>
              <w:spacing w:line="360" w:lineRule="auto"/>
              <w:ind w:firstLine="470" w:firstLineChars="196"/>
              <w:outlineLvl w:val="1"/>
              <w:rPr>
                <w:rFonts w:hint="eastAsia" w:asciiTheme="minorEastAsia" w:hAnsiTheme="minorEastAsia" w:eastAsiaTheme="minorEastAsia" w:cstheme="minorEastAsia"/>
                <w:color w:val="auto"/>
                <w:highlight w:val="none"/>
              </w:rPr>
            </w:pPr>
          </w:p>
        </w:tc>
        <w:tc>
          <w:tcPr>
            <w:tcW w:w="843" w:type="dxa"/>
            <w:vAlign w:val="center"/>
          </w:tcPr>
          <w:p w14:paraId="17BA756C">
            <w:pPr>
              <w:spacing w:line="360" w:lineRule="auto"/>
              <w:ind w:firstLine="470" w:firstLineChars="196"/>
              <w:outlineLvl w:val="1"/>
              <w:rPr>
                <w:rFonts w:hint="eastAsia" w:asciiTheme="minorEastAsia" w:hAnsiTheme="minorEastAsia" w:eastAsiaTheme="minorEastAsia" w:cstheme="minorEastAsia"/>
                <w:color w:val="auto"/>
                <w:highlight w:val="none"/>
              </w:rPr>
            </w:pPr>
          </w:p>
        </w:tc>
      </w:tr>
      <w:tr w14:paraId="2D16B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62" w:type="dxa"/>
            <w:vAlign w:val="center"/>
          </w:tcPr>
          <w:p w14:paraId="0E4130E9">
            <w:pPr>
              <w:spacing w:line="360" w:lineRule="auto"/>
              <w:ind w:firstLine="470" w:firstLineChars="196"/>
              <w:outlineLvl w:val="1"/>
              <w:rPr>
                <w:rFonts w:hint="eastAsia" w:asciiTheme="minorEastAsia" w:hAnsiTheme="minorEastAsia" w:eastAsiaTheme="minorEastAsia" w:cstheme="minorEastAsia"/>
                <w:color w:val="auto"/>
                <w:highlight w:val="none"/>
              </w:rPr>
            </w:pPr>
          </w:p>
        </w:tc>
        <w:tc>
          <w:tcPr>
            <w:tcW w:w="2041" w:type="dxa"/>
            <w:vAlign w:val="center"/>
          </w:tcPr>
          <w:p w14:paraId="441C8FB3">
            <w:pPr>
              <w:spacing w:line="360" w:lineRule="auto"/>
              <w:ind w:firstLine="470" w:firstLineChars="196"/>
              <w:outlineLvl w:val="1"/>
              <w:rPr>
                <w:rFonts w:hint="eastAsia" w:asciiTheme="minorEastAsia" w:hAnsiTheme="minorEastAsia" w:eastAsiaTheme="minorEastAsia" w:cstheme="minorEastAsia"/>
                <w:color w:val="auto"/>
                <w:highlight w:val="none"/>
              </w:rPr>
            </w:pPr>
          </w:p>
        </w:tc>
        <w:tc>
          <w:tcPr>
            <w:tcW w:w="1360" w:type="dxa"/>
            <w:vAlign w:val="center"/>
          </w:tcPr>
          <w:p w14:paraId="23628054">
            <w:pPr>
              <w:spacing w:line="360" w:lineRule="auto"/>
              <w:ind w:firstLine="470" w:firstLineChars="196"/>
              <w:outlineLvl w:val="1"/>
              <w:rPr>
                <w:rFonts w:hint="eastAsia" w:asciiTheme="minorEastAsia" w:hAnsiTheme="minorEastAsia" w:eastAsiaTheme="minorEastAsia" w:cstheme="minorEastAsia"/>
                <w:color w:val="auto"/>
                <w:highlight w:val="none"/>
              </w:rPr>
            </w:pPr>
          </w:p>
        </w:tc>
        <w:tc>
          <w:tcPr>
            <w:tcW w:w="888" w:type="dxa"/>
            <w:vAlign w:val="center"/>
          </w:tcPr>
          <w:p w14:paraId="498A707F">
            <w:pPr>
              <w:spacing w:line="360" w:lineRule="auto"/>
              <w:ind w:firstLine="470" w:firstLineChars="196"/>
              <w:outlineLvl w:val="1"/>
              <w:rPr>
                <w:rFonts w:hint="eastAsia" w:asciiTheme="minorEastAsia" w:hAnsiTheme="minorEastAsia" w:eastAsiaTheme="minorEastAsia" w:cstheme="minorEastAsia"/>
                <w:color w:val="auto"/>
                <w:highlight w:val="none"/>
              </w:rPr>
            </w:pPr>
          </w:p>
        </w:tc>
        <w:tc>
          <w:tcPr>
            <w:tcW w:w="1212" w:type="dxa"/>
            <w:vAlign w:val="center"/>
          </w:tcPr>
          <w:p w14:paraId="317DAD81">
            <w:pPr>
              <w:spacing w:line="360" w:lineRule="auto"/>
              <w:ind w:firstLine="470" w:firstLineChars="196"/>
              <w:outlineLvl w:val="1"/>
              <w:rPr>
                <w:rFonts w:hint="eastAsia" w:asciiTheme="minorEastAsia" w:hAnsiTheme="minorEastAsia" w:eastAsiaTheme="minorEastAsia" w:cstheme="minorEastAsia"/>
                <w:color w:val="auto"/>
                <w:highlight w:val="none"/>
              </w:rPr>
            </w:pPr>
          </w:p>
        </w:tc>
        <w:tc>
          <w:tcPr>
            <w:tcW w:w="840" w:type="dxa"/>
            <w:vAlign w:val="center"/>
          </w:tcPr>
          <w:p w14:paraId="637DE52F">
            <w:pPr>
              <w:spacing w:line="360" w:lineRule="auto"/>
              <w:jc w:val="both"/>
              <w:outlineLvl w:val="1"/>
              <w:rPr>
                <w:rFonts w:hint="eastAsia" w:asciiTheme="minorEastAsia" w:hAnsiTheme="minorEastAsia" w:eastAsiaTheme="minorEastAsia" w:cstheme="minorEastAsia"/>
                <w:color w:val="auto"/>
                <w:highlight w:val="none"/>
              </w:rPr>
            </w:pPr>
          </w:p>
        </w:tc>
        <w:tc>
          <w:tcPr>
            <w:tcW w:w="1717" w:type="dxa"/>
            <w:vAlign w:val="center"/>
          </w:tcPr>
          <w:p w14:paraId="2A7B83A6">
            <w:pPr>
              <w:spacing w:line="360" w:lineRule="auto"/>
              <w:ind w:firstLine="470" w:firstLineChars="196"/>
              <w:outlineLvl w:val="1"/>
              <w:rPr>
                <w:rFonts w:hint="eastAsia" w:asciiTheme="minorEastAsia" w:hAnsiTheme="minorEastAsia" w:eastAsiaTheme="minorEastAsia" w:cstheme="minorEastAsia"/>
                <w:color w:val="auto"/>
                <w:highlight w:val="none"/>
              </w:rPr>
            </w:pPr>
          </w:p>
        </w:tc>
        <w:tc>
          <w:tcPr>
            <w:tcW w:w="843" w:type="dxa"/>
            <w:vAlign w:val="center"/>
          </w:tcPr>
          <w:p w14:paraId="7E578156">
            <w:pPr>
              <w:spacing w:line="360" w:lineRule="auto"/>
              <w:ind w:firstLine="470" w:firstLineChars="196"/>
              <w:outlineLvl w:val="1"/>
              <w:rPr>
                <w:rFonts w:hint="eastAsia" w:asciiTheme="minorEastAsia" w:hAnsiTheme="minorEastAsia" w:eastAsiaTheme="minorEastAsia" w:cstheme="minorEastAsia"/>
                <w:color w:val="auto"/>
                <w:highlight w:val="none"/>
              </w:rPr>
            </w:pPr>
          </w:p>
        </w:tc>
      </w:tr>
      <w:tr w14:paraId="26939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62" w:type="dxa"/>
            <w:vAlign w:val="center"/>
          </w:tcPr>
          <w:p w14:paraId="2C90EA22">
            <w:pPr>
              <w:spacing w:line="360" w:lineRule="auto"/>
              <w:outlineLvl w:val="1"/>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w:t>
            </w:r>
          </w:p>
        </w:tc>
        <w:tc>
          <w:tcPr>
            <w:tcW w:w="2041" w:type="dxa"/>
            <w:vAlign w:val="center"/>
          </w:tcPr>
          <w:p w14:paraId="4035CC2D">
            <w:pPr>
              <w:spacing w:line="360" w:lineRule="auto"/>
              <w:ind w:firstLine="470" w:firstLineChars="196"/>
              <w:outlineLvl w:val="1"/>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w:t>
            </w:r>
          </w:p>
        </w:tc>
        <w:tc>
          <w:tcPr>
            <w:tcW w:w="1360" w:type="dxa"/>
            <w:vAlign w:val="center"/>
          </w:tcPr>
          <w:p w14:paraId="53E5E138">
            <w:pPr>
              <w:spacing w:line="360" w:lineRule="auto"/>
              <w:ind w:firstLine="470" w:firstLineChars="196"/>
              <w:outlineLvl w:val="1"/>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w:t>
            </w:r>
          </w:p>
        </w:tc>
        <w:tc>
          <w:tcPr>
            <w:tcW w:w="888" w:type="dxa"/>
            <w:vAlign w:val="center"/>
          </w:tcPr>
          <w:p w14:paraId="397F47B7">
            <w:pPr>
              <w:spacing w:line="360" w:lineRule="auto"/>
              <w:outlineLvl w:val="1"/>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w:t>
            </w:r>
          </w:p>
        </w:tc>
        <w:tc>
          <w:tcPr>
            <w:tcW w:w="1212" w:type="dxa"/>
            <w:vAlign w:val="center"/>
          </w:tcPr>
          <w:p w14:paraId="68A4E43E">
            <w:pPr>
              <w:spacing w:line="360" w:lineRule="auto"/>
              <w:ind w:firstLine="240" w:firstLineChars="100"/>
              <w:outlineLvl w:val="1"/>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w:t>
            </w:r>
          </w:p>
        </w:tc>
        <w:tc>
          <w:tcPr>
            <w:tcW w:w="840" w:type="dxa"/>
            <w:vAlign w:val="center"/>
          </w:tcPr>
          <w:p w14:paraId="5D9B8821">
            <w:pPr>
              <w:spacing w:line="360" w:lineRule="auto"/>
              <w:jc w:val="both"/>
              <w:outlineLvl w:val="1"/>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w:t>
            </w:r>
          </w:p>
        </w:tc>
        <w:tc>
          <w:tcPr>
            <w:tcW w:w="1717" w:type="dxa"/>
            <w:vAlign w:val="center"/>
          </w:tcPr>
          <w:p w14:paraId="3BBAE426">
            <w:pPr>
              <w:spacing w:line="360" w:lineRule="auto"/>
              <w:ind w:firstLine="470" w:firstLineChars="196"/>
              <w:outlineLvl w:val="1"/>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w:t>
            </w:r>
          </w:p>
        </w:tc>
        <w:tc>
          <w:tcPr>
            <w:tcW w:w="843" w:type="dxa"/>
            <w:vAlign w:val="center"/>
          </w:tcPr>
          <w:p w14:paraId="7D79822A">
            <w:pPr>
              <w:spacing w:line="360" w:lineRule="auto"/>
              <w:outlineLvl w:val="1"/>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w:t>
            </w:r>
          </w:p>
        </w:tc>
      </w:tr>
      <w:tr w14:paraId="39984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9763" w:type="dxa"/>
            <w:gridSpan w:val="8"/>
            <w:tcBorders>
              <w:top w:val="single" w:color="auto" w:sz="4" w:space="0"/>
              <w:bottom w:val="single" w:color="auto" w:sz="4" w:space="0"/>
            </w:tcBorders>
            <w:vAlign w:val="center"/>
          </w:tcPr>
          <w:p w14:paraId="7B05CA4F">
            <w:pPr>
              <w:spacing w:line="360" w:lineRule="auto"/>
              <w:ind w:firstLine="470" w:firstLineChars="196"/>
              <w:outlineLvl w:val="1"/>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分项报价合计（万元）：       大写：</w:t>
            </w:r>
          </w:p>
        </w:tc>
      </w:tr>
    </w:tbl>
    <w:p w14:paraId="5C396DF0">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rPr>
        <w:t>注：</w:t>
      </w:r>
      <w:r>
        <w:rPr>
          <w:rFonts w:hint="eastAsia" w:ascii="宋体" w:hAnsi="宋体" w:cs="宋体"/>
          <w:color w:val="auto"/>
          <w:highlight w:val="none"/>
          <w:lang w:eastAsia="zh-CN"/>
        </w:rPr>
        <w:t>（一）</w:t>
      </w:r>
      <w:r>
        <w:rPr>
          <w:rFonts w:hint="eastAsia" w:ascii="宋体" w:hAnsi="宋体" w:cs="宋体"/>
          <w:color w:val="auto"/>
          <w:highlight w:val="none"/>
        </w:rPr>
        <w:t>投标人需按“分项报价明细表”的格式详细报出投标总价的各个组成部分的报价。若招标文件第六章中具体设备有配置清单的同时分项报出配置清单的每项配置单价。（如未体现配置细节单价视为完全满足招标文件要求并在报价中已经包含了招标文件要求的全部配置）。</w:t>
      </w:r>
    </w:p>
    <w:p w14:paraId="550D2EF7">
      <w:pPr>
        <w:keepNext w:val="0"/>
        <w:keepLines w:val="0"/>
        <w:pageBreakBefore w:val="0"/>
        <w:widowControl/>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highlight w:val="none"/>
        </w:rPr>
      </w:pPr>
      <w:r>
        <w:rPr>
          <w:rFonts w:hint="eastAsia" w:ascii="宋体" w:hAnsi="宋体" w:cs="宋体"/>
          <w:color w:val="auto"/>
          <w:highlight w:val="none"/>
          <w:lang w:val="en-US" w:eastAsia="zh-CN"/>
        </w:rPr>
        <w:t>（二）</w:t>
      </w:r>
      <w:r>
        <w:rPr>
          <w:rFonts w:hint="eastAsia" w:ascii="宋体" w:hAnsi="宋体" w:cs="宋体"/>
          <w:color w:val="auto"/>
          <w:highlight w:val="none"/>
        </w:rPr>
        <w:t>“分项报价明细表”须包含第六章所有采购标的，各分项报价应当与“开标一览表”所属分类报价一致。</w:t>
      </w:r>
    </w:p>
    <w:p w14:paraId="59C1580D">
      <w:pPr>
        <w:pStyle w:val="27"/>
        <w:numPr>
          <w:ilvl w:val="0"/>
          <w:numId w:val="0"/>
        </w:numPr>
        <w:ind w:left="600" w:leftChars="0"/>
        <w:rPr>
          <w:rFonts w:hint="eastAsia"/>
          <w:color w:val="auto"/>
          <w:highlight w:val="none"/>
        </w:rPr>
      </w:pPr>
    </w:p>
    <w:p w14:paraId="6BF993E6">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投标人名称 （盖单位公章）：</w:t>
      </w:r>
    </w:p>
    <w:p w14:paraId="668F7DBC">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法定代表人或授权代表（签字）：</w:t>
      </w:r>
    </w:p>
    <w:p w14:paraId="4FA82230">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sectPr>
          <w:headerReference r:id="rId19" w:type="first"/>
          <w:footerReference r:id="rId20" w:type="first"/>
          <w:headerReference r:id="rId18" w:type="even"/>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hAnsi="宋体"/>
          <w:color w:val="auto"/>
          <w:highlight w:val="none"/>
        </w:rPr>
        <w:t>日期：</w:t>
      </w:r>
    </w:p>
    <w:p w14:paraId="5C73DBA2">
      <w:pPr>
        <w:pStyle w:val="3"/>
        <w:spacing w:line="480" w:lineRule="auto"/>
        <w:rPr>
          <w:color w:val="auto"/>
          <w:sz w:val="32"/>
          <w:szCs w:val="32"/>
          <w:highlight w:val="none"/>
        </w:rPr>
      </w:pPr>
      <w:r>
        <w:rPr>
          <w:rFonts w:hint="eastAsia"/>
          <w:color w:val="auto"/>
          <w:sz w:val="32"/>
          <w:szCs w:val="32"/>
          <w:highlight w:val="none"/>
        </w:rPr>
        <w:t>七、商务应答表</w:t>
      </w:r>
    </w:p>
    <w:p w14:paraId="69E95529">
      <w:pPr>
        <w:spacing w:line="360" w:lineRule="auto"/>
        <w:rPr>
          <w:rFonts w:hAnsi="宋体"/>
          <w:b/>
          <w:color w:val="auto"/>
          <w:highlight w:val="none"/>
        </w:rPr>
      </w:pPr>
      <w:r>
        <w:rPr>
          <w:rFonts w:hint="eastAsia" w:hAnsi="宋体"/>
          <w:b/>
          <w:color w:val="auto"/>
          <w:highlight w:val="none"/>
        </w:rPr>
        <w:t xml:space="preserve">项目名称：   招标编号：                   </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3883"/>
        <w:gridCol w:w="3884"/>
        <w:gridCol w:w="1230"/>
      </w:tblGrid>
      <w:tr w14:paraId="61712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trPr>
        <w:tc>
          <w:tcPr>
            <w:tcW w:w="552" w:type="dxa"/>
            <w:noWrap/>
            <w:vAlign w:val="center"/>
          </w:tcPr>
          <w:p w14:paraId="4A250B1A">
            <w:pPr>
              <w:spacing w:line="360" w:lineRule="auto"/>
              <w:jc w:val="center"/>
              <w:outlineLvl w:val="5"/>
              <w:rPr>
                <w:rFonts w:hAnsi="宋体" w:cs="宋体"/>
                <w:b/>
                <w:color w:val="auto"/>
                <w:highlight w:val="none"/>
              </w:rPr>
            </w:pPr>
            <w:r>
              <w:rPr>
                <w:rFonts w:hint="eastAsia" w:hAnsi="宋体" w:cs="宋体"/>
                <w:b/>
                <w:color w:val="auto"/>
                <w:highlight w:val="none"/>
              </w:rPr>
              <w:t>序号</w:t>
            </w:r>
          </w:p>
        </w:tc>
        <w:tc>
          <w:tcPr>
            <w:tcW w:w="3883" w:type="dxa"/>
            <w:noWrap/>
            <w:vAlign w:val="center"/>
          </w:tcPr>
          <w:p w14:paraId="34A90D95">
            <w:pPr>
              <w:spacing w:line="360" w:lineRule="auto"/>
              <w:jc w:val="center"/>
              <w:outlineLvl w:val="5"/>
              <w:rPr>
                <w:rFonts w:hAnsi="宋体" w:cs="宋体"/>
                <w:b/>
                <w:color w:val="auto"/>
                <w:highlight w:val="none"/>
              </w:rPr>
            </w:pPr>
            <w:r>
              <w:rPr>
                <w:rFonts w:hint="eastAsia" w:hAnsi="宋体" w:cs="宋体"/>
                <w:b/>
                <w:color w:val="auto"/>
                <w:highlight w:val="none"/>
              </w:rPr>
              <w:t>招标要求</w:t>
            </w:r>
          </w:p>
        </w:tc>
        <w:tc>
          <w:tcPr>
            <w:tcW w:w="3884" w:type="dxa"/>
            <w:noWrap/>
            <w:vAlign w:val="center"/>
          </w:tcPr>
          <w:p w14:paraId="1DBE7DA3">
            <w:pPr>
              <w:spacing w:line="360" w:lineRule="auto"/>
              <w:jc w:val="center"/>
              <w:outlineLvl w:val="5"/>
              <w:rPr>
                <w:rFonts w:hAnsi="宋体" w:cs="宋体"/>
                <w:b/>
                <w:color w:val="auto"/>
                <w:highlight w:val="none"/>
              </w:rPr>
            </w:pPr>
            <w:r>
              <w:rPr>
                <w:rFonts w:hint="eastAsia" w:hAnsi="宋体" w:cs="宋体"/>
                <w:b/>
                <w:color w:val="auto"/>
                <w:highlight w:val="none"/>
              </w:rPr>
              <w:t>投标应答</w:t>
            </w:r>
          </w:p>
        </w:tc>
        <w:tc>
          <w:tcPr>
            <w:tcW w:w="1230" w:type="dxa"/>
            <w:noWrap/>
            <w:vAlign w:val="center"/>
          </w:tcPr>
          <w:p w14:paraId="3E88C48D">
            <w:pPr>
              <w:spacing w:line="360" w:lineRule="auto"/>
              <w:jc w:val="center"/>
              <w:outlineLvl w:val="5"/>
              <w:rPr>
                <w:rFonts w:hAnsi="宋体" w:cs="宋体"/>
                <w:b/>
                <w:color w:val="auto"/>
                <w:highlight w:val="none"/>
              </w:rPr>
            </w:pPr>
            <w:r>
              <w:rPr>
                <w:rFonts w:hint="eastAsia" w:hAnsi="宋体" w:cs="宋体"/>
                <w:b/>
                <w:color w:val="auto"/>
                <w:highlight w:val="none"/>
              </w:rPr>
              <w:t>备注</w:t>
            </w:r>
          </w:p>
        </w:tc>
      </w:tr>
      <w:tr w14:paraId="5E6EE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trPr>
        <w:tc>
          <w:tcPr>
            <w:tcW w:w="552" w:type="dxa"/>
            <w:noWrap/>
            <w:vAlign w:val="center"/>
          </w:tcPr>
          <w:p w14:paraId="26B88B05">
            <w:pPr>
              <w:spacing w:line="360" w:lineRule="auto"/>
              <w:jc w:val="center"/>
              <w:outlineLvl w:val="5"/>
              <w:rPr>
                <w:rFonts w:hAnsi="宋体" w:cs="宋体"/>
                <w:color w:val="auto"/>
                <w:highlight w:val="none"/>
              </w:rPr>
            </w:pPr>
          </w:p>
        </w:tc>
        <w:tc>
          <w:tcPr>
            <w:tcW w:w="3883" w:type="dxa"/>
            <w:noWrap/>
            <w:vAlign w:val="center"/>
          </w:tcPr>
          <w:p w14:paraId="225B9EC4">
            <w:pPr>
              <w:spacing w:line="360" w:lineRule="auto"/>
              <w:jc w:val="center"/>
              <w:outlineLvl w:val="5"/>
              <w:rPr>
                <w:rFonts w:hAnsi="宋体" w:cs="宋体"/>
                <w:color w:val="auto"/>
                <w:highlight w:val="none"/>
              </w:rPr>
            </w:pPr>
          </w:p>
        </w:tc>
        <w:tc>
          <w:tcPr>
            <w:tcW w:w="3884" w:type="dxa"/>
            <w:noWrap/>
            <w:vAlign w:val="center"/>
          </w:tcPr>
          <w:p w14:paraId="1C7D27F0">
            <w:pPr>
              <w:spacing w:line="360" w:lineRule="auto"/>
              <w:ind w:left="317" w:hanging="316" w:hangingChars="132"/>
              <w:jc w:val="center"/>
              <w:outlineLvl w:val="5"/>
              <w:rPr>
                <w:rFonts w:hAnsi="宋体" w:cs="宋体"/>
                <w:color w:val="auto"/>
                <w:highlight w:val="none"/>
              </w:rPr>
            </w:pPr>
          </w:p>
        </w:tc>
        <w:tc>
          <w:tcPr>
            <w:tcW w:w="1230" w:type="dxa"/>
            <w:noWrap/>
            <w:vAlign w:val="center"/>
          </w:tcPr>
          <w:p w14:paraId="0E48AED5">
            <w:pPr>
              <w:spacing w:line="360" w:lineRule="auto"/>
              <w:ind w:left="317" w:hanging="316" w:hangingChars="132"/>
              <w:jc w:val="center"/>
              <w:outlineLvl w:val="5"/>
              <w:rPr>
                <w:rFonts w:hAnsi="宋体" w:cs="宋体"/>
                <w:color w:val="auto"/>
                <w:highlight w:val="none"/>
              </w:rPr>
            </w:pPr>
          </w:p>
        </w:tc>
      </w:tr>
      <w:tr w14:paraId="169BC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trPr>
        <w:tc>
          <w:tcPr>
            <w:tcW w:w="552" w:type="dxa"/>
            <w:noWrap/>
            <w:vAlign w:val="center"/>
          </w:tcPr>
          <w:p w14:paraId="1AC13DE0">
            <w:pPr>
              <w:spacing w:line="360" w:lineRule="auto"/>
              <w:jc w:val="center"/>
              <w:outlineLvl w:val="5"/>
              <w:rPr>
                <w:rFonts w:hAnsi="宋体" w:cs="宋体"/>
                <w:color w:val="auto"/>
                <w:highlight w:val="none"/>
              </w:rPr>
            </w:pPr>
          </w:p>
        </w:tc>
        <w:tc>
          <w:tcPr>
            <w:tcW w:w="3883" w:type="dxa"/>
            <w:noWrap/>
            <w:vAlign w:val="center"/>
          </w:tcPr>
          <w:p w14:paraId="078DD6D8">
            <w:pPr>
              <w:spacing w:line="360" w:lineRule="auto"/>
              <w:jc w:val="center"/>
              <w:outlineLvl w:val="5"/>
              <w:rPr>
                <w:rFonts w:hAnsi="宋体" w:cs="宋体"/>
                <w:color w:val="auto"/>
                <w:highlight w:val="none"/>
              </w:rPr>
            </w:pPr>
          </w:p>
        </w:tc>
        <w:tc>
          <w:tcPr>
            <w:tcW w:w="3884" w:type="dxa"/>
            <w:noWrap/>
            <w:vAlign w:val="center"/>
          </w:tcPr>
          <w:p w14:paraId="366C4AC0">
            <w:pPr>
              <w:spacing w:line="360" w:lineRule="auto"/>
              <w:jc w:val="center"/>
              <w:outlineLvl w:val="5"/>
              <w:rPr>
                <w:rFonts w:hAnsi="宋体" w:cs="宋体"/>
                <w:color w:val="auto"/>
                <w:highlight w:val="none"/>
              </w:rPr>
            </w:pPr>
          </w:p>
        </w:tc>
        <w:tc>
          <w:tcPr>
            <w:tcW w:w="1230" w:type="dxa"/>
            <w:noWrap/>
            <w:vAlign w:val="center"/>
          </w:tcPr>
          <w:p w14:paraId="701EA1CD">
            <w:pPr>
              <w:spacing w:line="360" w:lineRule="auto"/>
              <w:jc w:val="center"/>
              <w:outlineLvl w:val="5"/>
              <w:rPr>
                <w:rFonts w:hAnsi="宋体" w:cs="宋体"/>
                <w:color w:val="auto"/>
                <w:highlight w:val="none"/>
              </w:rPr>
            </w:pPr>
          </w:p>
        </w:tc>
      </w:tr>
      <w:tr w14:paraId="2F4B6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trPr>
        <w:tc>
          <w:tcPr>
            <w:tcW w:w="552" w:type="dxa"/>
            <w:noWrap/>
            <w:vAlign w:val="center"/>
          </w:tcPr>
          <w:p w14:paraId="51C05A08">
            <w:pPr>
              <w:spacing w:line="360" w:lineRule="auto"/>
              <w:jc w:val="center"/>
              <w:outlineLvl w:val="5"/>
              <w:rPr>
                <w:rFonts w:hAnsi="宋体" w:cs="宋体"/>
                <w:color w:val="auto"/>
                <w:highlight w:val="none"/>
              </w:rPr>
            </w:pPr>
          </w:p>
        </w:tc>
        <w:tc>
          <w:tcPr>
            <w:tcW w:w="3883" w:type="dxa"/>
            <w:noWrap/>
            <w:vAlign w:val="center"/>
          </w:tcPr>
          <w:p w14:paraId="7BBA87BC">
            <w:pPr>
              <w:spacing w:line="360" w:lineRule="auto"/>
              <w:jc w:val="center"/>
              <w:outlineLvl w:val="5"/>
              <w:rPr>
                <w:rFonts w:hAnsi="宋体" w:cs="宋体"/>
                <w:color w:val="auto"/>
                <w:highlight w:val="none"/>
              </w:rPr>
            </w:pPr>
          </w:p>
        </w:tc>
        <w:tc>
          <w:tcPr>
            <w:tcW w:w="3884" w:type="dxa"/>
            <w:noWrap/>
            <w:vAlign w:val="center"/>
          </w:tcPr>
          <w:p w14:paraId="1753110A">
            <w:pPr>
              <w:spacing w:line="360" w:lineRule="auto"/>
              <w:jc w:val="center"/>
              <w:outlineLvl w:val="5"/>
              <w:rPr>
                <w:rFonts w:hAnsi="宋体" w:cs="宋体"/>
                <w:color w:val="auto"/>
                <w:highlight w:val="none"/>
              </w:rPr>
            </w:pPr>
          </w:p>
        </w:tc>
        <w:tc>
          <w:tcPr>
            <w:tcW w:w="1230" w:type="dxa"/>
            <w:noWrap/>
            <w:vAlign w:val="center"/>
          </w:tcPr>
          <w:p w14:paraId="14547BD1">
            <w:pPr>
              <w:spacing w:line="360" w:lineRule="auto"/>
              <w:jc w:val="center"/>
              <w:outlineLvl w:val="5"/>
              <w:rPr>
                <w:rFonts w:hAnsi="宋体" w:cs="宋体"/>
                <w:color w:val="auto"/>
                <w:highlight w:val="none"/>
              </w:rPr>
            </w:pPr>
          </w:p>
        </w:tc>
      </w:tr>
      <w:tr w14:paraId="3AC5B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trPr>
        <w:tc>
          <w:tcPr>
            <w:tcW w:w="552" w:type="dxa"/>
            <w:noWrap/>
            <w:vAlign w:val="center"/>
          </w:tcPr>
          <w:p w14:paraId="17BE328D">
            <w:pPr>
              <w:spacing w:line="360" w:lineRule="auto"/>
              <w:jc w:val="center"/>
              <w:outlineLvl w:val="5"/>
              <w:rPr>
                <w:rFonts w:hAnsi="宋体" w:cs="宋体"/>
                <w:color w:val="auto"/>
                <w:highlight w:val="none"/>
              </w:rPr>
            </w:pPr>
          </w:p>
        </w:tc>
        <w:tc>
          <w:tcPr>
            <w:tcW w:w="3883" w:type="dxa"/>
            <w:noWrap/>
            <w:vAlign w:val="center"/>
          </w:tcPr>
          <w:p w14:paraId="7AB3EF75">
            <w:pPr>
              <w:spacing w:line="360" w:lineRule="auto"/>
              <w:jc w:val="center"/>
              <w:outlineLvl w:val="5"/>
              <w:rPr>
                <w:rFonts w:hAnsi="宋体" w:cs="宋体"/>
                <w:color w:val="auto"/>
                <w:highlight w:val="none"/>
              </w:rPr>
            </w:pPr>
          </w:p>
        </w:tc>
        <w:tc>
          <w:tcPr>
            <w:tcW w:w="3884" w:type="dxa"/>
            <w:noWrap/>
            <w:vAlign w:val="center"/>
          </w:tcPr>
          <w:p w14:paraId="508B478E">
            <w:pPr>
              <w:spacing w:line="360" w:lineRule="auto"/>
              <w:jc w:val="center"/>
              <w:outlineLvl w:val="5"/>
              <w:rPr>
                <w:rFonts w:hAnsi="宋体" w:cs="宋体"/>
                <w:color w:val="auto"/>
                <w:highlight w:val="none"/>
              </w:rPr>
            </w:pPr>
          </w:p>
        </w:tc>
        <w:tc>
          <w:tcPr>
            <w:tcW w:w="1230" w:type="dxa"/>
            <w:noWrap/>
            <w:vAlign w:val="center"/>
          </w:tcPr>
          <w:p w14:paraId="4B5DAC54">
            <w:pPr>
              <w:spacing w:line="360" w:lineRule="auto"/>
              <w:jc w:val="center"/>
              <w:outlineLvl w:val="5"/>
              <w:rPr>
                <w:rFonts w:hAnsi="宋体" w:cs="宋体"/>
                <w:color w:val="auto"/>
                <w:highlight w:val="none"/>
              </w:rPr>
            </w:pPr>
          </w:p>
        </w:tc>
      </w:tr>
      <w:tr w14:paraId="00267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1" w:hRule="atLeast"/>
        </w:trPr>
        <w:tc>
          <w:tcPr>
            <w:tcW w:w="552" w:type="dxa"/>
            <w:noWrap/>
            <w:vAlign w:val="center"/>
          </w:tcPr>
          <w:p w14:paraId="34373BFF">
            <w:pPr>
              <w:spacing w:line="360" w:lineRule="auto"/>
              <w:jc w:val="center"/>
              <w:outlineLvl w:val="5"/>
              <w:rPr>
                <w:rFonts w:hAnsi="宋体" w:cs="宋体"/>
                <w:color w:val="auto"/>
                <w:highlight w:val="none"/>
              </w:rPr>
            </w:pPr>
          </w:p>
        </w:tc>
        <w:tc>
          <w:tcPr>
            <w:tcW w:w="3883" w:type="dxa"/>
            <w:noWrap/>
            <w:vAlign w:val="center"/>
          </w:tcPr>
          <w:p w14:paraId="0CC46716">
            <w:pPr>
              <w:spacing w:line="360" w:lineRule="auto"/>
              <w:jc w:val="center"/>
              <w:outlineLvl w:val="5"/>
              <w:rPr>
                <w:rFonts w:hAnsi="宋体" w:cs="宋体"/>
                <w:color w:val="auto"/>
                <w:highlight w:val="none"/>
              </w:rPr>
            </w:pPr>
          </w:p>
        </w:tc>
        <w:tc>
          <w:tcPr>
            <w:tcW w:w="3884" w:type="dxa"/>
            <w:noWrap/>
            <w:vAlign w:val="center"/>
          </w:tcPr>
          <w:p w14:paraId="7DAE167C">
            <w:pPr>
              <w:spacing w:line="360" w:lineRule="auto"/>
              <w:jc w:val="center"/>
              <w:outlineLvl w:val="5"/>
              <w:rPr>
                <w:rFonts w:hAnsi="宋体" w:cs="宋体"/>
                <w:color w:val="auto"/>
                <w:highlight w:val="none"/>
              </w:rPr>
            </w:pPr>
          </w:p>
        </w:tc>
        <w:tc>
          <w:tcPr>
            <w:tcW w:w="1230" w:type="dxa"/>
            <w:noWrap/>
            <w:vAlign w:val="center"/>
          </w:tcPr>
          <w:p w14:paraId="7472FEE8">
            <w:pPr>
              <w:spacing w:line="360" w:lineRule="auto"/>
              <w:jc w:val="center"/>
              <w:outlineLvl w:val="5"/>
              <w:rPr>
                <w:rFonts w:hAnsi="宋体" w:cs="宋体"/>
                <w:color w:val="auto"/>
                <w:highlight w:val="none"/>
              </w:rPr>
            </w:pPr>
          </w:p>
        </w:tc>
      </w:tr>
    </w:tbl>
    <w:p w14:paraId="7845EA25">
      <w:pPr>
        <w:adjustRightInd w:val="0"/>
        <w:snapToGrid w:val="0"/>
        <w:spacing w:line="360" w:lineRule="auto"/>
        <w:ind w:firstLine="480" w:firstLineChars="200"/>
        <w:rPr>
          <w:rFonts w:ascii="宋体" w:hAnsi="宋体" w:cs="宋体"/>
          <w:color w:val="auto"/>
          <w:highlight w:val="none"/>
        </w:rPr>
      </w:pPr>
    </w:p>
    <w:p w14:paraId="65368E5C">
      <w:pPr>
        <w:adjustRightInd w:val="0"/>
        <w:snapToGrid w:val="0"/>
        <w:spacing w:line="360" w:lineRule="auto"/>
        <w:rPr>
          <w:rFonts w:ascii="宋体" w:hAnsi="宋体" w:cs="宋体"/>
          <w:color w:val="auto"/>
          <w:highlight w:val="none"/>
        </w:rPr>
      </w:pPr>
      <w:r>
        <w:rPr>
          <w:rFonts w:hint="eastAsia" w:ascii="宋体" w:hAnsi="宋体" w:cs="宋体"/>
          <w:color w:val="auto"/>
          <w:highlight w:val="none"/>
        </w:rPr>
        <w:t>注：</w:t>
      </w:r>
      <w:r>
        <w:rPr>
          <w:rFonts w:hint="eastAsia" w:ascii="宋体" w:hAnsi="宋体" w:cs="宋体"/>
          <w:color w:val="auto"/>
          <w:highlight w:val="none"/>
          <w:lang w:eastAsia="zh-CN"/>
        </w:rPr>
        <w:t>（一）</w:t>
      </w:r>
      <w:r>
        <w:rPr>
          <w:rFonts w:hint="eastAsia" w:ascii="宋体" w:hAnsi="宋体" w:cs="宋体"/>
          <w:color w:val="auto"/>
          <w:highlight w:val="none"/>
        </w:rPr>
        <w:t>投标人把招标文件第六章中第三部分：总体商务、服务要求及履约主要条款逐条列出。</w:t>
      </w:r>
    </w:p>
    <w:p w14:paraId="498DEA66">
      <w:pPr>
        <w:adjustRightInd w:val="0"/>
        <w:snapToGrid w:val="0"/>
        <w:spacing w:line="360" w:lineRule="auto"/>
        <w:ind w:firstLine="480" w:firstLineChars="200"/>
        <w:rPr>
          <w:rFonts w:ascii="宋体" w:hAnsi="宋体" w:cs="宋体"/>
          <w:color w:val="auto"/>
          <w:highlight w:val="none"/>
        </w:rPr>
      </w:pPr>
      <w:r>
        <w:rPr>
          <w:rFonts w:hint="eastAsia" w:ascii="宋体" w:hAnsi="宋体" w:cs="宋体"/>
          <w:color w:val="auto"/>
          <w:highlight w:val="none"/>
          <w:lang w:eastAsia="zh-CN"/>
        </w:rPr>
        <w:t>（二）</w:t>
      </w:r>
      <w:r>
        <w:rPr>
          <w:rFonts w:hint="eastAsia" w:ascii="宋体" w:hAnsi="宋体" w:cs="宋体"/>
          <w:color w:val="auto"/>
          <w:highlight w:val="none"/>
        </w:rPr>
        <w:t>投标人必须据实填写，不得虚假应答，否则将取消其投标或中标资格，并按有关规定进行处罚。</w:t>
      </w:r>
    </w:p>
    <w:p w14:paraId="4C722256">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投标人名称（盖单位公章）：</w:t>
      </w:r>
    </w:p>
    <w:p w14:paraId="54971416">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rPr>
      </w:pPr>
      <w:r>
        <w:rPr>
          <w:rFonts w:hint="eastAsia" w:hAnsi="宋体"/>
          <w:color w:val="auto"/>
          <w:highlight w:val="none"/>
        </w:rPr>
        <w:t>法定代表人或授权代表（签字）：</w:t>
      </w:r>
    </w:p>
    <w:p w14:paraId="48428A9C">
      <w:pPr>
        <w:keepLines w:val="0"/>
        <w:pageBreakBefore w:val="0"/>
        <w:kinsoku/>
        <w:overflowPunct/>
        <w:autoSpaceDE w:val="0"/>
        <w:autoSpaceDN w:val="0"/>
        <w:bidi w:val="0"/>
        <w:snapToGrid w:val="0"/>
        <w:spacing w:line="360" w:lineRule="auto"/>
        <w:ind w:firstLine="480" w:firstLineChars="200"/>
        <w:rPr>
          <w:rFonts w:hint="eastAsia" w:hAnsi="宋体"/>
          <w:color w:val="auto"/>
          <w:highlight w:val="none"/>
          <w:lang w:eastAsia="zh-CN"/>
        </w:rPr>
      </w:pPr>
      <w:r>
        <w:rPr>
          <w:rFonts w:hint="eastAsia" w:hAnsi="宋体"/>
          <w:color w:val="auto"/>
          <w:highlight w:val="none"/>
        </w:rPr>
        <w:t>日期</w:t>
      </w:r>
      <w:r>
        <w:rPr>
          <w:rFonts w:hint="eastAsia" w:hAnsi="宋体"/>
          <w:color w:val="auto"/>
          <w:highlight w:val="none"/>
          <w:lang w:eastAsia="zh-CN"/>
        </w:rPr>
        <w:t>：</w:t>
      </w:r>
    </w:p>
    <w:bookmarkEnd w:id="137"/>
    <w:p w14:paraId="3D6F398F">
      <w:pPr>
        <w:pStyle w:val="3"/>
        <w:spacing w:line="480" w:lineRule="auto"/>
        <w:rPr>
          <w:color w:val="auto"/>
          <w:sz w:val="32"/>
          <w:szCs w:val="32"/>
          <w:highlight w:val="none"/>
        </w:rPr>
      </w:pPr>
      <w:bookmarkStart w:id="138" w:name="_Toc217446088"/>
      <w:r>
        <w:rPr>
          <w:rFonts w:hint="eastAsia"/>
          <w:color w:val="auto"/>
          <w:sz w:val="32"/>
          <w:szCs w:val="32"/>
          <w:highlight w:val="none"/>
        </w:rPr>
        <w:t>八、投标产品技术配置参数表</w:t>
      </w:r>
    </w:p>
    <w:p w14:paraId="76983BA0">
      <w:pPr>
        <w:spacing w:line="360" w:lineRule="auto"/>
        <w:rPr>
          <w:rFonts w:hAnsi="宋体"/>
          <w:b/>
          <w:color w:val="auto"/>
          <w:highlight w:val="none"/>
        </w:rPr>
      </w:pPr>
      <w:r>
        <w:rPr>
          <w:rFonts w:hint="eastAsia" w:hAnsi="宋体"/>
          <w:b/>
          <w:color w:val="auto"/>
          <w:highlight w:val="none"/>
        </w:rPr>
        <w:t xml:space="preserve">项目名称：   招标编号：                   </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384"/>
        <w:gridCol w:w="2812"/>
        <w:gridCol w:w="3256"/>
        <w:gridCol w:w="2053"/>
      </w:tblGrid>
      <w:tr w14:paraId="229BD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83" w:type="dxa"/>
            <w:noWrap/>
            <w:vAlign w:val="center"/>
          </w:tcPr>
          <w:p w14:paraId="6AAD5531">
            <w:pPr>
              <w:pStyle w:val="71"/>
              <w:spacing w:line="360" w:lineRule="auto"/>
              <w:jc w:val="center"/>
              <w:rPr>
                <w:rFonts w:hAnsi="宋体"/>
                <w:b/>
                <w:color w:val="auto"/>
                <w:kern w:val="0"/>
                <w:sz w:val="22"/>
                <w:highlight w:val="none"/>
              </w:rPr>
            </w:pPr>
            <w:r>
              <w:rPr>
                <w:rFonts w:hint="eastAsia" w:hAnsi="宋体"/>
                <w:b/>
                <w:color w:val="auto"/>
                <w:kern w:val="0"/>
                <w:sz w:val="22"/>
                <w:highlight w:val="none"/>
              </w:rPr>
              <w:t>序号</w:t>
            </w:r>
          </w:p>
        </w:tc>
        <w:tc>
          <w:tcPr>
            <w:tcW w:w="1384" w:type="dxa"/>
            <w:noWrap/>
            <w:vAlign w:val="center"/>
          </w:tcPr>
          <w:p w14:paraId="40D8E81A">
            <w:pPr>
              <w:pStyle w:val="71"/>
              <w:spacing w:line="360" w:lineRule="auto"/>
              <w:jc w:val="center"/>
              <w:rPr>
                <w:rFonts w:hAnsi="宋体"/>
                <w:b/>
                <w:color w:val="auto"/>
                <w:kern w:val="0"/>
                <w:sz w:val="22"/>
                <w:highlight w:val="none"/>
              </w:rPr>
            </w:pPr>
            <w:r>
              <w:rPr>
                <w:rFonts w:hint="eastAsia" w:hAnsi="宋体"/>
                <w:b/>
                <w:color w:val="auto"/>
                <w:kern w:val="0"/>
                <w:sz w:val="22"/>
                <w:highlight w:val="none"/>
              </w:rPr>
              <w:t>货物名称</w:t>
            </w:r>
          </w:p>
        </w:tc>
        <w:tc>
          <w:tcPr>
            <w:tcW w:w="2812" w:type="dxa"/>
            <w:noWrap/>
            <w:vAlign w:val="center"/>
          </w:tcPr>
          <w:p w14:paraId="46DF7557">
            <w:pPr>
              <w:pStyle w:val="71"/>
              <w:spacing w:line="360" w:lineRule="auto"/>
              <w:ind w:firstLine="442" w:firstLineChars="200"/>
              <w:jc w:val="center"/>
              <w:rPr>
                <w:rFonts w:hAnsi="宋体"/>
                <w:b/>
                <w:color w:val="auto"/>
                <w:kern w:val="0"/>
                <w:sz w:val="22"/>
                <w:highlight w:val="none"/>
              </w:rPr>
            </w:pPr>
            <w:r>
              <w:rPr>
                <w:rFonts w:hint="eastAsia" w:hAnsi="宋体"/>
                <w:b/>
                <w:color w:val="auto"/>
                <w:kern w:val="0"/>
                <w:sz w:val="22"/>
                <w:highlight w:val="none"/>
              </w:rPr>
              <w:t>招标文件要求</w:t>
            </w:r>
          </w:p>
        </w:tc>
        <w:tc>
          <w:tcPr>
            <w:tcW w:w="3256" w:type="dxa"/>
            <w:noWrap/>
            <w:vAlign w:val="center"/>
          </w:tcPr>
          <w:p w14:paraId="0A55494E">
            <w:pPr>
              <w:pStyle w:val="71"/>
              <w:spacing w:line="360" w:lineRule="auto"/>
              <w:ind w:firstLine="221" w:firstLineChars="100"/>
              <w:jc w:val="center"/>
              <w:rPr>
                <w:rFonts w:hAnsi="宋体"/>
                <w:b/>
                <w:color w:val="auto"/>
                <w:kern w:val="0"/>
                <w:sz w:val="22"/>
                <w:highlight w:val="none"/>
              </w:rPr>
            </w:pPr>
            <w:r>
              <w:rPr>
                <w:rFonts w:hint="eastAsia" w:hAnsi="宋体"/>
                <w:b/>
                <w:color w:val="auto"/>
                <w:kern w:val="0"/>
                <w:sz w:val="22"/>
                <w:highlight w:val="none"/>
              </w:rPr>
              <w:t>投标产品技术配置参数</w:t>
            </w:r>
          </w:p>
        </w:tc>
        <w:tc>
          <w:tcPr>
            <w:tcW w:w="2053" w:type="dxa"/>
            <w:noWrap/>
            <w:vAlign w:val="center"/>
          </w:tcPr>
          <w:p w14:paraId="35965CD0">
            <w:pPr>
              <w:pStyle w:val="71"/>
              <w:spacing w:line="360" w:lineRule="auto"/>
              <w:jc w:val="center"/>
              <w:rPr>
                <w:rFonts w:hAnsi="宋体"/>
                <w:b/>
                <w:color w:val="auto"/>
                <w:kern w:val="0"/>
                <w:sz w:val="22"/>
                <w:highlight w:val="none"/>
              </w:rPr>
            </w:pPr>
            <w:r>
              <w:rPr>
                <w:rFonts w:hint="eastAsia" w:hAnsi="宋体"/>
                <w:b/>
                <w:color w:val="auto"/>
                <w:kern w:val="0"/>
                <w:sz w:val="22"/>
                <w:highlight w:val="none"/>
              </w:rPr>
              <w:t>偏离说明</w:t>
            </w:r>
          </w:p>
        </w:tc>
      </w:tr>
      <w:tr w14:paraId="48F00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83" w:type="dxa"/>
            <w:noWrap/>
          </w:tcPr>
          <w:p w14:paraId="10ED17C5">
            <w:pPr>
              <w:pStyle w:val="71"/>
              <w:spacing w:line="360" w:lineRule="auto"/>
              <w:rPr>
                <w:rFonts w:hAnsi="宋体"/>
                <w:color w:val="auto"/>
                <w:kern w:val="0"/>
                <w:sz w:val="22"/>
                <w:highlight w:val="none"/>
              </w:rPr>
            </w:pPr>
          </w:p>
        </w:tc>
        <w:tc>
          <w:tcPr>
            <w:tcW w:w="1384" w:type="dxa"/>
            <w:noWrap/>
          </w:tcPr>
          <w:p w14:paraId="17E10DEC">
            <w:pPr>
              <w:pStyle w:val="71"/>
              <w:spacing w:line="360" w:lineRule="auto"/>
              <w:rPr>
                <w:rFonts w:hAnsi="宋体"/>
                <w:color w:val="auto"/>
                <w:kern w:val="0"/>
                <w:sz w:val="22"/>
                <w:highlight w:val="none"/>
              </w:rPr>
            </w:pPr>
          </w:p>
        </w:tc>
        <w:tc>
          <w:tcPr>
            <w:tcW w:w="2812" w:type="dxa"/>
            <w:noWrap/>
          </w:tcPr>
          <w:p w14:paraId="426C389D">
            <w:pPr>
              <w:pStyle w:val="71"/>
              <w:spacing w:line="360" w:lineRule="auto"/>
              <w:rPr>
                <w:rFonts w:hAnsi="宋体"/>
                <w:color w:val="auto"/>
                <w:kern w:val="0"/>
                <w:sz w:val="22"/>
                <w:highlight w:val="none"/>
              </w:rPr>
            </w:pPr>
          </w:p>
        </w:tc>
        <w:tc>
          <w:tcPr>
            <w:tcW w:w="3256" w:type="dxa"/>
            <w:noWrap/>
          </w:tcPr>
          <w:p w14:paraId="5084C8A9">
            <w:pPr>
              <w:pStyle w:val="71"/>
              <w:spacing w:line="360" w:lineRule="auto"/>
              <w:rPr>
                <w:rFonts w:hAnsi="宋体"/>
                <w:color w:val="auto"/>
                <w:kern w:val="0"/>
                <w:sz w:val="22"/>
                <w:highlight w:val="none"/>
              </w:rPr>
            </w:pPr>
          </w:p>
        </w:tc>
        <w:tc>
          <w:tcPr>
            <w:tcW w:w="2053" w:type="dxa"/>
            <w:noWrap/>
          </w:tcPr>
          <w:p w14:paraId="7444DDF2">
            <w:pPr>
              <w:pStyle w:val="71"/>
              <w:spacing w:line="360" w:lineRule="auto"/>
              <w:rPr>
                <w:rFonts w:hAnsi="宋体"/>
                <w:color w:val="auto"/>
                <w:kern w:val="0"/>
                <w:sz w:val="22"/>
                <w:highlight w:val="none"/>
              </w:rPr>
            </w:pPr>
          </w:p>
        </w:tc>
      </w:tr>
      <w:tr w14:paraId="72822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83" w:type="dxa"/>
            <w:noWrap/>
          </w:tcPr>
          <w:p w14:paraId="31F7C254">
            <w:pPr>
              <w:pStyle w:val="71"/>
              <w:spacing w:line="360" w:lineRule="auto"/>
              <w:rPr>
                <w:rFonts w:hAnsi="宋体"/>
                <w:color w:val="auto"/>
                <w:kern w:val="0"/>
                <w:sz w:val="22"/>
                <w:highlight w:val="none"/>
              </w:rPr>
            </w:pPr>
          </w:p>
        </w:tc>
        <w:tc>
          <w:tcPr>
            <w:tcW w:w="1384" w:type="dxa"/>
            <w:noWrap/>
          </w:tcPr>
          <w:p w14:paraId="420E0191">
            <w:pPr>
              <w:pStyle w:val="71"/>
              <w:spacing w:line="360" w:lineRule="auto"/>
              <w:rPr>
                <w:rFonts w:hAnsi="宋体"/>
                <w:color w:val="auto"/>
                <w:kern w:val="0"/>
                <w:sz w:val="22"/>
                <w:highlight w:val="none"/>
              </w:rPr>
            </w:pPr>
          </w:p>
        </w:tc>
        <w:tc>
          <w:tcPr>
            <w:tcW w:w="2812" w:type="dxa"/>
            <w:noWrap/>
          </w:tcPr>
          <w:p w14:paraId="464F7E03">
            <w:pPr>
              <w:pStyle w:val="71"/>
              <w:spacing w:line="360" w:lineRule="auto"/>
              <w:rPr>
                <w:rFonts w:hAnsi="宋体"/>
                <w:color w:val="auto"/>
                <w:kern w:val="0"/>
                <w:sz w:val="22"/>
                <w:highlight w:val="none"/>
              </w:rPr>
            </w:pPr>
          </w:p>
        </w:tc>
        <w:tc>
          <w:tcPr>
            <w:tcW w:w="3256" w:type="dxa"/>
            <w:noWrap/>
          </w:tcPr>
          <w:p w14:paraId="63FB8287">
            <w:pPr>
              <w:pStyle w:val="71"/>
              <w:spacing w:line="360" w:lineRule="auto"/>
              <w:rPr>
                <w:rFonts w:hAnsi="宋体"/>
                <w:color w:val="auto"/>
                <w:kern w:val="0"/>
                <w:sz w:val="22"/>
                <w:highlight w:val="none"/>
              </w:rPr>
            </w:pPr>
          </w:p>
        </w:tc>
        <w:tc>
          <w:tcPr>
            <w:tcW w:w="2053" w:type="dxa"/>
            <w:noWrap/>
          </w:tcPr>
          <w:p w14:paraId="0C185239">
            <w:pPr>
              <w:pStyle w:val="71"/>
              <w:spacing w:line="360" w:lineRule="auto"/>
              <w:rPr>
                <w:rFonts w:hAnsi="宋体"/>
                <w:color w:val="auto"/>
                <w:kern w:val="0"/>
                <w:sz w:val="22"/>
                <w:highlight w:val="none"/>
              </w:rPr>
            </w:pPr>
          </w:p>
        </w:tc>
      </w:tr>
      <w:tr w14:paraId="79218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83" w:type="dxa"/>
            <w:noWrap/>
          </w:tcPr>
          <w:p w14:paraId="1C69B209">
            <w:pPr>
              <w:pStyle w:val="71"/>
              <w:spacing w:line="360" w:lineRule="auto"/>
              <w:rPr>
                <w:rFonts w:hAnsi="宋体"/>
                <w:color w:val="auto"/>
                <w:kern w:val="0"/>
                <w:sz w:val="22"/>
                <w:highlight w:val="none"/>
              </w:rPr>
            </w:pPr>
          </w:p>
        </w:tc>
        <w:tc>
          <w:tcPr>
            <w:tcW w:w="1384" w:type="dxa"/>
            <w:noWrap/>
          </w:tcPr>
          <w:p w14:paraId="2FCA21C0">
            <w:pPr>
              <w:pStyle w:val="71"/>
              <w:spacing w:line="360" w:lineRule="auto"/>
              <w:rPr>
                <w:rFonts w:hAnsi="宋体"/>
                <w:color w:val="auto"/>
                <w:kern w:val="0"/>
                <w:sz w:val="22"/>
                <w:highlight w:val="none"/>
              </w:rPr>
            </w:pPr>
          </w:p>
        </w:tc>
        <w:tc>
          <w:tcPr>
            <w:tcW w:w="2812" w:type="dxa"/>
            <w:noWrap/>
          </w:tcPr>
          <w:p w14:paraId="7ADC0046">
            <w:pPr>
              <w:pStyle w:val="71"/>
              <w:spacing w:line="360" w:lineRule="auto"/>
              <w:rPr>
                <w:rFonts w:hAnsi="宋体"/>
                <w:color w:val="auto"/>
                <w:kern w:val="0"/>
                <w:sz w:val="22"/>
                <w:highlight w:val="none"/>
              </w:rPr>
            </w:pPr>
          </w:p>
        </w:tc>
        <w:tc>
          <w:tcPr>
            <w:tcW w:w="3256" w:type="dxa"/>
            <w:noWrap/>
          </w:tcPr>
          <w:p w14:paraId="1C1A9A28">
            <w:pPr>
              <w:pStyle w:val="71"/>
              <w:spacing w:line="360" w:lineRule="auto"/>
              <w:rPr>
                <w:rFonts w:hAnsi="宋体"/>
                <w:color w:val="auto"/>
                <w:kern w:val="0"/>
                <w:sz w:val="22"/>
                <w:highlight w:val="none"/>
              </w:rPr>
            </w:pPr>
          </w:p>
        </w:tc>
        <w:tc>
          <w:tcPr>
            <w:tcW w:w="2053" w:type="dxa"/>
            <w:noWrap/>
          </w:tcPr>
          <w:p w14:paraId="557F110A">
            <w:pPr>
              <w:pStyle w:val="71"/>
              <w:spacing w:line="360" w:lineRule="auto"/>
              <w:rPr>
                <w:rFonts w:hAnsi="宋体"/>
                <w:color w:val="auto"/>
                <w:kern w:val="0"/>
                <w:sz w:val="22"/>
                <w:highlight w:val="none"/>
              </w:rPr>
            </w:pPr>
          </w:p>
        </w:tc>
      </w:tr>
      <w:tr w14:paraId="469E3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83" w:type="dxa"/>
            <w:noWrap/>
          </w:tcPr>
          <w:p w14:paraId="746A9A35">
            <w:pPr>
              <w:pStyle w:val="71"/>
              <w:spacing w:line="360" w:lineRule="auto"/>
              <w:rPr>
                <w:rFonts w:hAnsi="宋体"/>
                <w:color w:val="auto"/>
                <w:kern w:val="0"/>
                <w:sz w:val="22"/>
                <w:highlight w:val="none"/>
              </w:rPr>
            </w:pPr>
          </w:p>
        </w:tc>
        <w:tc>
          <w:tcPr>
            <w:tcW w:w="1384" w:type="dxa"/>
            <w:noWrap/>
          </w:tcPr>
          <w:p w14:paraId="78E420BE">
            <w:pPr>
              <w:pStyle w:val="71"/>
              <w:spacing w:line="360" w:lineRule="auto"/>
              <w:rPr>
                <w:rFonts w:hAnsi="宋体"/>
                <w:color w:val="auto"/>
                <w:kern w:val="0"/>
                <w:sz w:val="22"/>
                <w:highlight w:val="none"/>
              </w:rPr>
            </w:pPr>
          </w:p>
        </w:tc>
        <w:tc>
          <w:tcPr>
            <w:tcW w:w="2812" w:type="dxa"/>
            <w:noWrap/>
          </w:tcPr>
          <w:p w14:paraId="603F823E">
            <w:pPr>
              <w:pStyle w:val="71"/>
              <w:spacing w:line="360" w:lineRule="auto"/>
              <w:rPr>
                <w:rFonts w:hAnsi="宋体"/>
                <w:color w:val="auto"/>
                <w:kern w:val="0"/>
                <w:sz w:val="22"/>
                <w:highlight w:val="none"/>
              </w:rPr>
            </w:pPr>
          </w:p>
        </w:tc>
        <w:tc>
          <w:tcPr>
            <w:tcW w:w="3256" w:type="dxa"/>
            <w:noWrap/>
          </w:tcPr>
          <w:p w14:paraId="7400A4CD">
            <w:pPr>
              <w:pStyle w:val="71"/>
              <w:spacing w:line="360" w:lineRule="auto"/>
              <w:rPr>
                <w:rFonts w:hAnsi="宋体"/>
                <w:color w:val="auto"/>
                <w:kern w:val="0"/>
                <w:sz w:val="22"/>
                <w:highlight w:val="none"/>
              </w:rPr>
            </w:pPr>
          </w:p>
        </w:tc>
        <w:tc>
          <w:tcPr>
            <w:tcW w:w="2053" w:type="dxa"/>
            <w:noWrap/>
          </w:tcPr>
          <w:p w14:paraId="7512D0B2">
            <w:pPr>
              <w:pStyle w:val="71"/>
              <w:spacing w:line="360" w:lineRule="auto"/>
              <w:rPr>
                <w:rFonts w:hAnsi="宋体"/>
                <w:color w:val="auto"/>
                <w:kern w:val="0"/>
                <w:sz w:val="22"/>
                <w:highlight w:val="none"/>
              </w:rPr>
            </w:pPr>
          </w:p>
        </w:tc>
      </w:tr>
      <w:tr w14:paraId="089D1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83" w:type="dxa"/>
            <w:noWrap/>
          </w:tcPr>
          <w:p w14:paraId="79B95172">
            <w:pPr>
              <w:pStyle w:val="71"/>
              <w:spacing w:line="360" w:lineRule="auto"/>
              <w:rPr>
                <w:rFonts w:hAnsi="宋体"/>
                <w:color w:val="auto"/>
                <w:kern w:val="0"/>
                <w:sz w:val="22"/>
                <w:highlight w:val="none"/>
              </w:rPr>
            </w:pPr>
          </w:p>
        </w:tc>
        <w:tc>
          <w:tcPr>
            <w:tcW w:w="1384" w:type="dxa"/>
            <w:noWrap/>
          </w:tcPr>
          <w:p w14:paraId="28D2D4EC">
            <w:pPr>
              <w:pStyle w:val="71"/>
              <w:spacing w:line="360" w:lineRule="auto"/>
              <w:rPr>
                <w:rFonts w:hAnsi="宋体"/>
                <w:color w:val="auto"/>
                <w:kern w:val="0"/>
                <w:sz w:val="22"/>
                <w:highlight w:val="none"/>
              </w:rPr>
            </w:pPr>
          </w:p>
        </w:tc>
        <w:tc>
          <w:tcPr>
            <w:tcW w:w="2812" w:type="dxa"/>
            <w:noWrap/>
          </w:tcPr>
          <w:p w14:paraId="33790A6C">
            <w:pPr>
              <w:pStyle w:val="71"/>
              <w:spacing w:line="360" w:lineRule="auto"/>
              <w:rPr>
                <w:rFonts w:hAnsi="宋体"/>
                <w:color w:val="auto"/>
                <w:kern w:val="0"/>
                <w:sz w:val="22"/>
                <w:highlight w:val="none"/>
              </w:rPr>
            </w:pPr>
          </w:p>
        </w:tc>
        <w:tc>
          <w:tcPr>
            <w:tcW w:w="3256" w:type="dxa"/>
            <w:noWrap/>
          </w:tcPr>
          <w:p w14:paraId="7FD7A463">
            <w:pPr>
              <w:pStyle w:val="71"/>
              <w:spacing w:line="360" w:lineRule="auto"/>
              <w:rPr>
                <w:rFonts w:hAnsi="宋体"/>
                <w:color w:val="auto"/>
                <w:kern w:val="0"/>
                <w:sz w:val="22"/>
                <w:highlight w:val="none"/>
              </w:rPr>
            </w:pPr>
          </w:p>
        </w:tc>
        <w:tc>
          <w:tcPr>
            <w:tcW w:w="2053" w:type="dxa"/>
            <w:noWrap/>
          </w:tcPr>
          <w:p w14:paraId="78FB554E">
            <w:pPr>
              <w:pStyle w:val="71"/>
              <w:spacing w:line="360" w:lineRule="auto"/>
              <w:rPr>
                <w:rFonts w:hAnsi="宋体"/>
                <w:color w:val="auto"/>
                <w:kern w:val="0"/>
                <w:sz w:val="22"/>
                <w:highlight w:val="none"/>
              </w:rPr>
            </w:pPr>
          </w:p>
        </w:tc>
      </w:tr>
      <w:tr w14:paraId="569D3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83" w:type="dxa"/>
            <w:noWrap/>
          </w:tcPr>
          <w:p w14:paraId="6720EB8B">
            <w:pPr>
              <w:pStyle w:val="71"/>
              <w:spacing w:line="360" w:lineRule="auto"/>
              <w:rPr>
                <w:rFonts w:hAnsi="宋体"/>
                <w:color w:val="auto"/>
                <w:kern w:val="0"/>
                <w:sz w:val="22"/>
                <w:highlight w:val="none"/>
              </w:rPr>
            </w:pPr>
          </w:p>
        </w:tc>
        <w:tc>
          <w:tcPr>
            <w:tcW w:w="1384" w:type="dxa"/>
            <w:noWrap/>
          </w:tcPr>
          <w:p w14:paraId="4E0D1A78">
            <w:pPr>
              <w:pStyle w:val="71"/>
              <w:spacing w:line="360" w:lineRule="auto"/>
              <w:rPr>
                <w:rFonts w:hAnsi="宋体"/>
                <w:color w:val="auto"/>
                <w:kern w:val="0"/>
                <w:sz w:val="22"/>
                <w:highlight w:val="none"/>
              </w:rPr>
            </w:pPr>
          </w:p>
        </w:tc>
        <w:tc>
          <w:tcPr>
            <w:tcW w:w="2812" w:type="dxa"/>
            <w:noWrap/>
          </w:tcPr>
          <w:p w14:paraId="7952D33A">
            <w:pPr>
              <w:pStyle w:val="71"/>
              <w:spacing w:line="360" w:lineRule="auto"/>
              <w:rPr>
                <w:rFonts w:hAnsi="宋体"/>
                <w:color w:val="auto"/>
                <w:kern w:val="0"/>
                <w:sz w:val="22"/>
                <w:highlight w:val="none"/>
              </w:rPr>
            </w:pPr>
          </w:p>
        </w:tc>
        <w:tc>
          <w:tcPr>
            <w:tcW w:w="3256" w:type="dxa"/>
            <w:noWrap/>
          </w:tcPr>
          <w:p w14:paraId="3BF79E3E">
            <w:pPr>
              <w:pStyle w:val="71"/>
              <w:spacing w:line="360" w:lineRule="auto"/>
              <w:rPr>
                <w:rFonts w:hAnsi="宋体"/>
                <w:color w:val="auto"/>
                <w:kern w:val="0"/>
                <w:sz w:val="22"/>
                <w:highlight w:val="none"/>
              </w:rPr>
            </w:pPr>
          </w:p>
        </w:tc>
        <w:tc>
          <w:tcPr>
            <w:tcW w:w="2053" w:type="dxa"/>
            <w:noWrap/>
          </w:tcPr>
          <w:p w14:paraId="29AC3631">
            <w:pPr>
              <w:pStyle w:val="71"/>
              <w:spacing w:line="360" w:lineRule="auto"/>
              <w:rPr>
                <w:rFonts w:hAnsi="宋体"/>
                <w:color w:val="auto"/>
                <w:kern w:val="0"/>
                <w:sz w:val="22"/>
                <w:highlight w:val="none"/>
              </w:rPr>
            </w:pPr>
          </w:p>
        </w:tc>
      </w:tr>
      <w:tr w14:paraId="1274B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83" w:type="dxa"/>
            <w:noWrap/>
          </w:tcPr>
          <w:p w14:paraId="4CB32917">
            <w:pPr>
              <w:pStyle w:val="71"/>
              <w:spacing w:line="360" w:lineRule="auto"/>
              <w:rPr>
                <w:rFonts w:hAnsi="宋体"/>
                <w:color w:val="auto"/>
                <w:kern w:val="0"/>
                <w:sz w:val="22"/>
                <w:highlight w:val="none"/>
              </w:rPr>
            </w:pPr>
          </w:p>
        </w:tc>
        <w:tc>
          <w:tcPr>
            <w:tcW w:w="1384" w:type="dxa"/>
            <w:noWrap/>
          </w:tcPr>
          <w:p w14:paraId="68F5E48F">
            <w:pPr>
              <w:pStyle w:val="71"/>
              <w:spacing w:line="360" w:lineRule="auto"/>
              <w:rPr>
                <w:rFonts w:hAnsi="宋体"/>
                <w:color w:val="auto"/>
                <w:kern w:val="0"/>
                <w:sz w:val="22"/>
                <w:highlight w:val="none"/>
              </w:rPr>
            </w:pPr>
          </w:p>
        </w:tc>
        <w:tc>
          <w:tcPr>
            <w:tcW w:w="2812" w:type="dxa"/>
            <w:noWrap/>
          </w:tcPr>
          <w:p w14:paraId="19919AE3">
            <w:pPr>
              <w:pStyle w:val="71"/>
              <w:spacing w:line="360" w:lineRule="auto"/>
              <w:rPr>
                <w:rFonts w:hAnsi="宋体"/>
                <w:color w:val="auto"/>
                <w:kern w:val="0"/>
                <w:sz w:val="22"/>
                <w:highlight w:val="none"/>
              </w:rPr>
            </w:pPr>
          </w:p>
        </w:tc>
        <w:tc>
          <w:tcPr>
            <w:tcW w:w="3256" w:type="dxa"/>
            <w:noWrap/>
          </w:tcPr>
          <w:p w14:paraId="17469678">
            <w:pPr>
              <w:pStyle w:val="71"/>
              <w:spacing w:line="360" w:lineRule="auto"/>
              <w:rPr>
                <w:rFonts w:hAnsi="宋体"/>
                <w:color w:val="auto"/>
                <w:kern w:val="0"/>
                <w:sz w:val="22"/>
                <w:highlight w:val="none"/>
              </w:rPr>
            </w:pPr>
          </w:p>
        </w:tc>
        <w:tc>
          <w:tcPr>
            <w:tcW w:w="2053" w:type="dxa"/>
            <w:noWrap/>
          </w:tcPr>
          <w:p w14:paraId="6731942C">
            <w:pPr>
              <w:pStyle w:val="71"/>
              <w:spacing w:line="360" w:lineRule="auto"/>
              <w:rPr>
                <w:rFonts w:hAnsi="宋体"/>
                <w:color w:val="auto"/>
                <w:kern w:val="0"/>
                <w:sz w:val="22"/>
                <w:highlight w:val="none"/>
              </w:rPr>
            </w:pPr>
          </w:p>
        </w:tc>
      </w:tr>
      <w:tr w14:paraId="443EE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83" w:type="dxa"/>
            <w:noWrap/>
          </w:tcPr>
          <w:p w14:paraId="63392CC1">
            <w:pPr>
              <w:pStyle w:val="71"/>
              <w:spacing w:line="360" w:lineRule="auto"/>
              <w:rPr>
                <w:rFonts w:hAnsi="宋体"/>
                <w:color w:val="auto"/>
                <w:kern w:val="0"/>
                <w:sz w:val="22"/>
                <w:highlight w:val="none"/>
              </w:rPr>
            </w:pPr>
          </w:p>
        </w:tc>
        <w:tc>
          <w:tcPr>
            <w:tcW w:w="1384" w:type="dxa"/>
            <w:noWrap/>
          </w:tcPr>
          <w:p w14:paraId="7A8B685E">
            <w:pPr>
              <w:pStyle w:val="71"/>
              <w:spacing w:line="360" w:lineRule="auto"/>
              <w:rPr>
                <w:rFonts w:hAnsi="宋体"/>
                <w:color w:val="auto"/>
                <w:kern w:val="0"/>
                <w:sz w:val="22"/>
                <w:highlight w:val="none"/>
              </w:rPr>
            </w:pPr>
          </w:p>
        </w:tc>
        <w:tc>
          <w:tcPr>
            <w:tcW w:w="2812" w:type="dxa"/>
            <w:noWrap/>
          </w:tcPr>
          <w:p w14:paraId="6BD57597">
            <w:pPr>
              <w:pStyle w:val="71"/>
              <w:spacing w:line="360" w:lineRule="auto"/>
              <w:rPr>
                <w:rFonts w:hAnsi="宋体"/>
                <w:color w:val="auto"/>
                <w:kern w:val="0"/>
                <w:sz w:val="22"/>
                <w:highlight w:val="none"/>
              </w:rPr>
            </w:pPr>
          </w:p>
        </w:tc>
        <w:tc>
          <w:tcPr>
            <w:tcW w:w="3256" w:type="dxa"/>
            <w:noWrap/>
          </w:tcPr>
          <w:p w14:paraId="3907833D">
            <w:pPr>
              <w:pStyle w:val="71"/>
              <w:spacing w:line="360" w:lineRule="auto"/>
              <w:rPr>
                <w:rFonts w:hAnsi="宋体"/>
                <w:color w:val="auto"/>
                <w:kern w:val="0"/>
                <w:sz w:val="22"/>
                <w:highlight w:val="none"/>
              </w:rPr>
            </w:pPr>
          </w:p>
        </w:tc>
        <w:tc>
          <w:tcPr>
            <w:tcW w:w="2053" w:type="dxa"/>
            <w:noWrap/>
          </w:tcPr>
          <w:p w14:paraId="066C8E07">
            <w:pPr>
              <w:pStyle w:val="71"/>
              <w:spacing w:line="360" w:lineRule="auto"/>
              <w:rPr>
                <w:rFonts w:hAnsi="宋体"/>
                <w:color w:val="auto"/>
                <w:kern w:val="0"/>
                <w:sz w:val="22"/>
                <w:highlight w:val="none"/>
              </w:rPr>
            </w:pPr>
          </w:p>
        </w:tc>
      </w:tr>
      <w:tr w14:paraId="1F46C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83" w:type="dxa"/>
            <w:noWrap/>
          </w:tcPr>
          <w:p w14:paraId="09073148">
            <w:pPr>
              <w:pStyle w:val="71"/>
              <w:spacing w:line="360" w:lineRule="auto"/>
              <w:rPr>
                <w:rFonts w:hAnsi="宋体"/>
                <w:color w:val="auto"/>
                <w:kern w:val="0"/>
                <w:sz w:val="22"/>
                <w:highlight w:val="none"/>
              </w:rPr>
            </w:pPr>
          </w:p>
        </w:tc>
        <w:tc>
          <w:tcPr>
            <w:tcW w:w="1384" w:type="dxa"/>
            <w:noWrap/>
          </w:tcPr>
          <w:p w14:paraId="2721916E">
            <w:pPr>
              <w:pStyle w:val="71"/>
              <w:spacing w:line="360" w:lineRule="auto"/>
              <w:rPr>
                <w:rFonts w:hAnsi="宋体"/>
                <w:color w:val="auto"/>
                <w:kern w:val="0"/>
                <w:sz w:val="22"/>
                <w:highlight w:val="none"/>
              </w:rPr>
            </w:pPr>
          </w:p>
        </w:tc>
        <w:tc>
          <w:tcPr>
            <w:tcW w:w="2812" w:type="dxa"/>
            <w:noWrap/>
          </w:tcPr>
          <w:p w14:paraId="14EB460D">
            <w:pPr>
              <w:pStyle w:val="71"/>
              <w:spacing w:line="360" w:lineRule="auto"/>
              <w:rPr>
                <w:rFonts w:hAnsi="宋体"/>
                <w:color w:val="auto"/>
                <w:kern w:val="0"/>
                <w:sz w:val="22"/>
                <w:highlight w:val="none"/>
              </w:rPr>
            </w:pPr>
          </w:p>
        </w:tc>
        <w:tc>
          <w:tcPr>
            <w:tcW w:w="3256" w:type="dxa"/>
            <w:noWrap/>
          </w:tcPr>
          <w:p w14:paraId="29160BCA">
            <w:pPr>
              <w:pStyle w:val="71"/>
              <w:spacing w:line="360" w:lineRule="auto"/>
              <w:rPr>
                <w:rFonts w:hAnsi="宋体"/>
                <w:color w:val="auto"/>
                <w:kern w:val="0"/>
                <w:sz w:val="22"/>
                <w:highlight w:val="none"/>
              </w:rPr>
            </w:pPr>
          </w:p>
        </w:tc>
        <w:tc>
          <w:tcPr>
            <w:tcW w:w="2053" w:type="dxa"/>
            <w:noWrap/>
          </w:tcPr>
          <w:p w14:paraId="2A570902">
            <w:pPr>
              <w:pStyle w:val="71"/>
              <w:spacing w:line="360" w:lineRule="auto"/>
              <w:rPr>
                <w:rFonts w:hAnsi="宋体"/>
                <w:color w:val="auto"/>
                <w:kern w:val="0"/>
                <w:sz w:val="22"/>
                <w:highlight w:val="none"/>
              </w:rPr>
            </w:pPr>
          </w:p>
        </w:tc>
      </w:tr>
      <w:tr w14:paraId="37C1A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83" w:type="dxa"/>
            <w:noWrap/>
          </w:tcPr>
          <w:p w14:paraId="555362F2">
            <w:pPr>
              <w:pStyle w:val="71"/>
              <w:spacing w:line="360" w:lineRule="auto"/>
              <w:rPr>
                <w:rFonts w:hAnsi="宋体"/>
                <w:color w:val="auto"/>
                <w:kern w:val="0"/>
                <w:sz w:val="22"/>
                <w:highlight w:val="none"/>
              </w:rPr>
            </w:pPr>
          </w:p>
        </w:tc>
        <w:tc>
          <w:tcPr>
            <w:tcW w:w="1384" w:type="dxa"/>
            <w:noWrap/>
          </w:tcPr>
          <w:p w14:paraId="018ADBFB">
            <w:pPr>
              <w:pStyle w:val="71"/>
              <w:spacing w:line="360" w:lineRule="auto"/>
              <w:rPr>
                <w:rFonts w:hAnsi="宋体"/>
                <w:color w:val="auto"/>
                <w:kern w:val="0"/>
                <w:sz w:val="22"/>
                <w:highlight w:val="none"/>
              </w:rPr>
            </w:pPr>
          </w:p>
        </w:tc>
        <w:tc>
          <w:tcPr>
            <w:tcW w:w="2812" w:type="dxa"/>
            <w:noWrap/>
          </w:tcPr>
          <w:p w14:paraId="044AD7CB">
            <w:pPr>
              <w:pStyle w:val="71"/>
              <w:spacing w:line="360" w:lineRule="auto"/>
              <w:rPr>
                <w:rFonts w:hAnsi="宋体"/>
                <w:color w:val="auto"/>
                <w:kern w:val="0"/>
                <w:sz w:val="22"/>
                <w:highlight w:val="none"/>
              </w:rPr>
            </w:pPr>
          </w:p>
        </w:tc>
        <w:tc>
          <w:tcPr>
            <w:tcW w:w="3256" w:type="dxa"/>
            <w:noWrap/>
          </w:tcPr>
          <w:p w14:paraId="093BA5E3">
            <w:pPr>
              <w:pStyle w:val="71"/>
              <w:spacing w:line="360" w:lineRule="auto"/>
              <w:rPr>
                <w:rFonts w:hAnsi="宋体"/>
                <w:color w:val="auto"/>
                <w:kern w:val="0"/>
                <w:sz w:val="22"/>
                <w:highlight w:val="none"/>
              </w:rPr>
            </w:pPr>
          </w:p>
        </w:tc>
        <w:tc>
          <w:tcPr>
            <w:tcW w:w="2053" w:type="dxa"/>
            <w:noWrap/>
          </w:tcPr>
          <w:p w14:paraId="6B74FD97">
            <w:pPr>
              <w:pStyle w:val="71"/>
              <w:spacing w:line="360" w:lineRule="auto"/>
              <w:rPr>
                <w:rFonts w:hAnsi="宋体"/>
                <w:color w:val="auto"/>
                <w:kern w:val="0"/>
                <w:sz w:val="22"/>
                <w:highlight w:val="none"/>
              </w:rPr>
            </w:pPr>
          </w:p>
        </w:tc>
      </w:tr>
      <w:tr w14:paraId="7E53B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83" w:type="dxa"/>
            <w:noWrap/>
          </w:tcPr>
          <w:p w14:paraId="7C85B391">
            <w:pPr>
              <w:pStyle w:val="71"/>
              <w:spacing w:line="360" w:lineRule="auto"/>
              <w:rPr>
                <w:rFonts w:hAnsi="宋体"/>
                <w:color w:val="auto"/>
                <w:kern w:val="0"/>
                <w:sz w:val="22"/>
                <w:highlight w:val="none"/>
              </w:rPr>
            </w:pPr>
          </w:p>
        </w:tc>
        <w:tc>
          <w:tcPr>
            <w:tcW w:w="1384" w:type="dxa"/>
            <w:noWrap/>
          </w:tcPr>
          <w:p w14:paraId="1B8F5244">
            <w:pPr>
              <w:pStyle w:val="71"/>
              <w:spacing w:line="360" w:lineRule="auto"/>
              <w:rPr>
                <w:rFonts w:hAnsi="宋体"/>
                <w:color w:val="auto"/>
                <w:kern w:val="0"/>
                <w:sz w:val="22"/>
                <w:highlight w:val="none"/>
              </w:rPr>
            </w:pPr>
          </w:p>
        </w:tc>
        <w:tc>
          <w:tcPr>
            <w:tcW w:w="2812" w:type="dxa"/>
            <w:noWrap/>
          </w:tcPr>
          <w:p w14:paraId="47B3D5CF">
            <w:pPr>
              <w:pStyle w:val="71"/>
              <w:spacing w:line="360" w:lineRule="auto"/>
              <w:rPr>
                <w:rFonts w:hAnsi="宋体"/>
                <w:color w:val="auto"/>
                <w:kern w:val="0"/>
                <w:sz w:val="22"/>
                <w:highlight w:val="none"/>
              </w:rPr>
            </w:pPr>
          </w:p>
        </w:tc>
        <w:tc>
          <w:tcPr>
            <w:tcW w:w="3256" w:type="dxa"/>
            <w:noWrap/>
          </w:tcPr>
          <w:p w14:paraId="7A267D19">
            <w:pPr>
              <w:pStyle w:val="71"/>
              <w:spacing w:line="360" w:lineRule="auto"/>
              <w:rPr>
                <w:rFonts w:hAnsi="宋体"/>
                <w:color w:val="auto"/>
                <w:kern w:val="0"/>
                <w:sz w:val="22"/>
                <w:highlight w:val="none"/>
              </w:rPr>
            </w:pPr>
          </w:p>
        </w:tc>
        <w:tc>
          <w:tcPr>
            <w:tcW w:w="2053" w:type="dxa"/>
            <w:noWrap/>
          </w:tcPr>
          <w:p w14:paraId="0C89C3F8">
            <w:pPr>
              <w:pStyle w:val="71"/>
              <w:spacing w:line="360" w:lineRule="auto"/>
              <w:rPr>
                <w:rFonts w:hAnsi="宋体"/>
                <w:color w:val="auto"/>
                <w:kern w:val="0"/>
                <w:sz w:val="22"/>
                <w:highlight w:val="none"/>
              </w:rPr>
            </w:pPr>
          </w:p>
        </w:tc>
      </w:tr>
      <w:tr w14:paraId="6EEBD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83" w:type="dxa"/>
            <w:noWrap/>
          </w:tcPr>
          <w:p w14:paraId="20F25BB5">
            <w:pPr>
              <w:pStyle w:val="71"/>
              <w:spacing w:line="360" w:lineRule="auto"/>
              <w:rPr>
                <w:rFonts w:hAnsi="宋体"/>
                <w:color w:val="auto"/>
                <w:kern w:val="0"/>
                <w:sz w:val="22"/>
                <w:highlight w:val="none"/>
              </w:rPr>
            </w:pPr>
          </w:p>
        </w:tc>
        <w:tc>
          <w:tcPr>
            <w:tcW w:w="1384" w:type="dxa"/>
            <w:noWrap/>
          </w:tcPr>
          <w:p w14:paraId="1ACF498B">
            <w:pPr>
              <w:pStyle w:val="71"/>
              <w:spacing w:line="360" w:lineRule="auto"/>
              <w:rPr>
                <w:rFonts w:hAnsi="宋体"/>
                <w:color w:val="auto"/>
                <w:kern w:val="0"/>
                <w:sz w:val="22"/>
                <w:highlight w:val="none"/>
              </w:rPr>
            </w:pPr>
          </w:p>
        </w:tc>
        <w:tc>
          <w:tcPr>
            <w:tcW w:w="2812" w:type="dxa"/>
            <w:noWrap/>
          </w:tcPr>
          <w:p w14:paraId="0865B25D">
            <w:pPr>
              <w:pStyle w:val="71"/>
              <w:spacing w:line="360" w:lineRule="auto"/>
              <w:rPr>
                <w:rFonts w:hAnsi="宋体"/>
                <w:color w:val="auto"/>
                <w:kern w:val="0"/>
                <w:sz w:val="22"/>
                <w:highlight w:val="none"/>
              </w:rPr>
            </w:pPr>
          </w:p>
        </w:tc>
        <w:tc>
          <w:tcPr>
            <w:tcW w:w="3256" w:type="dxa"/>
            <w:noWrap/>
          </w:tcPr>
          <w:p w14:paraId="30D8D138">
            <w:pPr>
              <w:pStyle w:val="71"/>
              <w:spacing w:line="360" w:lineRule="auto"/>
              <w:rPr>
                <w:rFonts w:hAnsi="宋体"/>
                <w:color w:val="auto"/>
                <w:kern w:val="0"/>
                <w:sz w:val="22"/>
                <w:highlight w:val="none"/>
              </w:rPr>
            </w:pPr>
          </w:p>
        </w:tc>
        <w:tc>
          <w:tcPr>
            <w:tcW w:w="2053" w:type="dxa"/>
            <w:noWrap/>
          </w:tcPr>
          <w:p w14:paraId="0AF49070">
            <w:pPr>
              <w:pStyle w:val="71"/>
              <w:spacing w:line="360" w:lineRule="auto"/>
              <w:rPr>
                <w:rFonts w:hAnsi="宋体"/>
                <w:color w:val="auto"/>
                <w:kern w:val="0"/>
                <w:sz w:val="22"/>
                <w:highlight w:val="none"/>
              </w:rPr>
            </w:pPr>
          </w:p>
        </w:tc>
      </w:tr>
      <w:tr w14:paraId="16F7B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683" w:type="dxa"/>
            <w:noWrap/>
          </w:tcPr>
          <w:p w14:paraId="26B42EFA">
            <w:pPr>
              <w:pStyle w:val="71"/>
              <w:spacing w:line="360" w:lineRule="auto"/>
              <w:rPr>
                <w:rFonts w:hAnsi="宋体"/>
                <w:color w:val="auto"/>
                <w:kern w:val="0"/>
                <w:sz w:val="22"/>
                <w:highlight w:val="none"/>
              </w:rPr>
            </w:pPr>
          </w:p>
        </w:tc>
        <w:tc>
          <w:tcPr>
            <w:tcW w:w="1384" w:type="dxa"/>
            <w:noWrap/>
          </w:tcPr>
          <w:p w14:paraId="7670431F">
            <w:pPr>
              <w:pStyle w:val="71"/>
              <w:spacing w:line="360" w:lineRule="auto"/>
              <w:rPr>
                <w:rFonts w:hAnsi="宋体"/>
                <w:color w:val="auto"/>
                <w:kern w:val="0"/>
                <w:sz w:val="22"/>
                <w:highlight w:val="none"/>
              </w:rPr>
            </w:pPr>
          </w:p>
        </w:tc>
        <w:tc>
          <w:tcPr>
            <w:tcW w:w="2812" w:type="dxa"/>
            <w:noWrap/>
          </w:tcPr>
          <w:p w14:paraId="23E01D3D">
            <w:pPr>
              <w:pStyle w:val="71"/>
              <w:spacing w:line="360" w:lineRule="auto"/>
              <w:rPr>
                <w:rFonts w:hAnsi="宋体"/>
                <w:color w:val="auto"/>
                <w:kern w:val="0"/>
                <w:sz w:val="22"/>
                <w:highlight w:val="none"/>
              </w:rPr>
            </w:pPr>
          </w:p>
        </w:tc>
        <w:tc>
          <w:tcPr>
            <w:tcW w:w="3256" w:type="dxa"/>
            <w:noWrap/>
          </w:tcPr>
          <w:p w14:paraId="688B3420">
            <w:pPr>
              <w:pStyle w:val="71"/>
              <w:spacing w:line="360" w:lineRule="auto"/>
              <w:rPr>
                <w:rFonts w:hAnsi="宋体"/>
                <w:color w:val="auto"/>
                <w:kern w:val="0"/>
                <w:sz w:val="22"/>
                <w:highlight w:val="none"/>
              </w:rPr>
            </w:pPr>
          </w:p>
        </w:tc>
        <w:tc>
          <w:tcPr>
            <w:tcW w:w="2053" w:type="dxa"/>
            <w:noWrap/>
          </w:tcPr>
          <w:p w14:paraId="40AE7613">
            <w:pPr>
              <w:pStyle w:val="71"/>
              <w:spacing w:line="360" w:lineRule="auto"/>
              <w:rPr>
                <w:rFonts w:hAnsi="宋体"/>
                <w:color w:val="auto"/>
                <w:kern w:val="0"/>
                <w:sz w:val="22"/>
                <w:highlight w:val="none"/>
              </w:rPr>
            </w:pPr>
          </w:p>
        </w:tc>
      </w:tr>
    </w:tbl>
    <w:p w14:paraId="5D21660D">
      <w:pPr>
        <w:adjustRightInd w:val="0"/>
        <w:snapToGrid w:val="0"/>
        <w:spacing w:line="360" w:lineRule="auto"/>
        <w:rPr>
          <w:rFonts w:ascii="宋体" w:hAnsi="宋体" w:cs="宋体"/>
          <w:color w:val="auto"/>
          <w:highlight w:val="none"/>
        </w:rPr>
      </w:pPr>
    </w:p>
    <w:p w14:paraId="5F991D66">
      <w:pPr>
        <w:adjustRightInd w:val="0"/>
        <w:snapToGrid w:val="0"/>
        <w:spacing w:line="360" w:lineRule="auto"/>
        <w:rPr>
          <w:rFonts w:ascii="宋体" w:hAnsi="宋体" w:cs="宋体"/>
          <w:color w:val="auto"/>
          <w:highlight w:val="none"/>
        </w:rPr>
      </w:pPr>
      <w:r>
        <w:rPr>
          <w:rFonts w:hint="eastAsia" w:ascii="宋体" w:hAnsi="宋体" w:cs="宋体"/>
          <w:color w:val="auto"/>
          <w:highlight w:val="none"/>
        </w:rPr>
        <w:t>注：</w:t>
      </w:r>
      <w:r>
        <w:rPr>
          <w:rFonts w:hint="eastAsia" w:ascii="宋体" w:hAnsi="宋体" w:cs="宋体"/>
          <w:color w:val="auto"/>
          <w:highlight w:val="none"/>
          <w:lang w:eastAsia="zh-CN"/>
        </w:rPr>
        <w:t>（一）</w:t>
      </w:r>
      <w:r>
        <w:rPr>
          <w:rFonts w:hint="eastAsia" w:ascii="宋体" w:hAnsi="宋体" w:cs="宋体"/>
          <w:color w:val="auto"/>
          <w:highlight w:val="none"/>
        </w:rPr>
        <w:t>供应商需把招标文件第六章中第二部分项目技术、服务要求的全部技术配置参数逐条列入此表。</w:t>
      </w:r>
    </w:p>
    <w:p w14:paraId="1596C2A7">
      <w:pPr>
        <w:numPr>
          <w:ilvl w:val="0"/>
          <w:numId w:val="0"/>
        </w:numPr>
        <w:adjustRightInd w:val="0"/>
        <w:spacing w:line="360" w:lineRule="auto"/>
        <w:rPr>
          <w:rFonts w:hint="eastAsia" w:ascii="宋体" w:hAnsi="宋体" w:cs="宋体"/>
          <w:color w:val="auto"/>
          <w:highlight w:val="none"/>
        </w:rPr>
      </w:pPr>
      <w:r>
        <w:rPr>
          <w:rFonts w:hint="eastAsia" w:ascii="宋体" w:hAnsi="宋体" w:cs="宋体"/>
          <w:color w:val="auto"/>
          <w:highlight w:val="none"/>
          <w:lang w:eastAsia="zh-CN"/>
        </w:rPr>
        <w:t>（二）</w:t>
      </w:r>
      <w:r>
        <w:rPr>
          <w:rFonts w:hint="eastAsia" w:ascii="宋体" w:hAnsi="宋体" w:cs="宋体"/>
          <w:color w:val="auto"/>
          <w:highlight w:val="none"/>
        </w:rPr>
        <w:t>投标人必须据实填写，不得虚假应答，否则将取消其投标或中标资格。</w:t>
      </w:r>
    </w:p>
    <w:p w14:paraId="4AC2FE24">
      <w:pPr>
        <w:numPr>
          <w:ilvl w:val="0"/>
          <w:numId w:val="0"/>
        </w:numPr>
        <w:adjustRightInd w:val="0"/>
        <w:spacing w:line="360" w:lineRule="auto"/>
        <w:rPr>
          <w:rFonts w:hint="eastAsia" w:hAnsi="宋体"/>
          <w:color w:val="auto"/>
          <w:highlight w:val="none"/>
        </w:rPr>
      </w:pPr>
    </w:p>
    <w:p w14:paraId="2546ACC8">
      <w:pPr>
        <w:numPr>
          <w:ilvl w:val="0"/>
          <w:numId w:val="0"/>
        </w:numPr>
        <w:adjustRightInd w:val="0"/>
        <w:spacing w:line="360" w:lineRule="auto"/>
        <w:rPr>
          <w:rFonts w:hAnsi="宋体"/>
          <w:color w:val="auto"/>
          <w:highlight w:val="none"/>
        </w:rPr>
      </w:pPr>
      <w:r>
        <w:rPr>
          <w:rFonts w:hint="eastAsia" w:hAnsi="宋体"/>
          <w:color w:val="auto"/>
          <w:highlight w:val="none"/>
        </w:rPr>
        <w:t>投标人名称（盖单位公章）：</w:t>
      </w:r>
    </w:p>
    <w:p w14:paraId="5A284DCF">
      <w:pPr>
        <w:adjustRightInd w:val="0"/>
        <w:spacing w:line="360" w:lineRule="auto"/>
        <w:rPr>
          <w:rFonts w:hAnsi="宋体"/>
          <w:color w:val="auto"/>
          <w:highlight w:val="none"/>
        </w:rPr>
      </w:pPr>
      <w:r>
        <w:rPr>
          <w:rFonts w:hint="eastAsia" w:hAnsi="宋体"/>
          <w:color w:val="auto"/>
          <w:highlight w:val="none"/>
        </w:rPr>
        <w:t>法定代表人或授权代表（签字）：</w:t>
      </w:r>
    </w:p>
    <w:p w14:paraId="4E362118">
      <w:pPr>
        <w:spacing w:line="360" w:lineRule="auto"/>
        <w:rPr>
          <w:rFonts w:hAnsi="宋体"/>
          <w:color w:val="auto"/>
          <w:highlight w:val="none"/>
        </w:rPr>
        <w:sectPr>
          <w:headerReference r:id="rId22" w:type="first"/>
          <w:footerReference r:id="rId24" w:type="first"/>
          <w:headerReference r:id="rId21" w:type="default"/>
          <w:footerReference r:id="rId23" w:type="default"/>
          <w:pgSz w:w="11906" w:h="16838"/>
          <w:pgMar w:top="1440" w:right="1080" w:bottom="1440" w:left="1080" w:header="851" w:footer="992" w:gutter="0"/>
          <w:pgBorders>
            <w:top w:val="none" w:sz="0" w:space="0"/>
            <w:left w:val="none" w:sz="0" w:space="0"/>
            <w:bottom w:val="none" w:sz="0" w:space="0"/>
            <w:right w:val="none" w:sz="0" w:space="0"/>
          </w:pgBorders>
          <w:cols w:space="720" w:num="1"/>
          <w:titlePg/>
          <w:docGrid w:type="lines" w:linePitch="312" w:charSpace="0"/>
        </w:sectPr>
      </w:pPr>
      <w:r>
        <w:rPr>
          <w:rFonts w:hint="eastAsia" w:hAnsi="宋体"/>
          <w:color w:val="auto"/>
          <w:highlight w:val="none"/>
        </w:rPr>
        <w:t>日期</w:t>
      </w:r>
      <w:r>
        <w:rPr>
          <w:rFonts w:hAnsi="宋体"/>
          <w:color w:val="auto"/>
          <w:highlight w:val="none"/>
        </w:rPr>
        <w:t>:</w:t>
      </w:r>
    </w:p>
    <w:p w14:paraId="509E352E">
      <w:pPr>
        <w:pStyle w:val="3"/>
        <w:keepLines w:val="0"/>
        <w:pageBreakBefore w:val="0"/>
        <w:widowControl/>
        <w:kinsoku/>
        <w:wordWrap/>
        <w:overflowPunct/>
        <w:topLinePunct w:val="0"/>
        <w:autoSpaceDE/>
        <w:autoSpaceDN/>
        <w:bidi w:val="0"/>
        <w:spacing w:line="480" w:lineRule="auto"/>
        <w:textAlignment w:val="auto"/>
        <w:rPr>
          <w:rFonts w:hint="eastAsia"/>
          <w:color w:val="auto"/>
          <w:sz w:val="32"/>
          <w:szCs w:val="32"/>
          <w:highlight w:val="none"/>
          <w:lang w:val="en-US" w:eastAsia="zh-CN"/>
        </w:rPr>
      </w:pPr>
      <w:r>
        <w:rPr>
          <w:rFonts w:hint="eastAsia"/>
          <w:color w:val="auto"/>
          <w:sz w:val="32"/>
          <w:szCs w:val="32"/>
          <w:highlight w:val="none"/>
          <w:lang w:val="en-US" w:eastAsia="zh-CN"/>
        </w:rPr>
        <w:t>九、投标人基本情况表</w:t>
      </w:r>
      <w:bookmarkEnd w:id="138"/>
    </w:p>
    <w:p w14:paraId="73189165">
      <w:pPr>
        <w:keepLines w:val="0"/>
        <w:pageBreakBefore w:val="0"/>
        <w:kinsoku/>
        <w:overflowPunct/>
        <w:bidi w:val="0"/>
        <w:spacing w:line="360" w:lineRule="auto"/>
        <w:rPr>
          <w:rFonts w:hAnsi="宋体"/>
          <w:b/>
          <w:color w:val="auto"/>
          <w:highlight w:val="none"/>
          <w:u w:val="single"/>
        </w:rPr>
      </w:pPr>
      <w:r>
        <w:rPr>
          <w:rFonts w:hint="eastAsia" w:hAnsi="宋体"/>
          <w:b/>
          <w:color w:val="auto"/>
          <w:highlight w:val="none"/>
        </w:rPr>
        <w:t>项目名称：   招标编号：</w:t>
      </w:r>
      <w:r>
        <w:rPr>
          <w:rFonts w:hint="eastAsia" w:hAnsi="宋体"/>
          <w:b/>
          <w:color w:val="auto"/>
          <w:highlight w:val="none"/>
          <w:u w:val="single"/>
        </w:rPr>
        <w:t xml:space="preserve"> </w:t>
      </w:r>
    </w:p>
    <w:tbl>
      <w:tblPr>
        <w:tblStyle w:val="47"/>
        <w:tblW w:w="0" w:type="auto"/>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692"/>
        <w:gridCol w:w="1087"/>
        <w:gridCol w:w="1365"/>
        <w:gridCol w:w="1405"/>
        <w:gridCol w:w="8"/>
        <w:gridCol w:w="1485"/>
        <w:gridCol w:w="1317"/>
        <w:gridCol w:w="1212"/>
      </w:tblGrid>
      <w:tr w14:paraId="0387A2E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692" w:type="dxa"/>
            <w:noWrap/>
            <w:vAlign w:val="center"/>
          </w:tcPr>
          <w:p w14:paraId="5B0E69FD">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投标人名称</w:t>
            </w:r>
          </w:p>
        </w:tc>
        <w:tc>
          <w:tcPr>
            <w:tcW w:w="7879" w:type="dxa"/>
            <w:gridSpan w:val="7"/>
            <w:noWrap/>
            <w:vAlign w:val="center"/>
          </w:tcPr>
          <w:p w14:paraId="74C24A9C">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p>
        </w:tc>
      </w:tr>
      <w:tr w14:paraId="7DD2045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692" w:type="dxa"/>
            <w:noWrap/>
            <w:vAlign w:val="center"/>
          </w:tcPr>
          <w:p w14:paraId="5FAC9380">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注册地址</w:t>
            </w:r>
          </w:p>
        </w:tc>
        <w:tc>
          <w:tcPr>
            <w:tcW w:w="3865" w:type="dxa"/>
            <w:gridSpan w:val="4"/>
            <w:noWrap/>
            <w:vAlign w:val="center"/>
          </w:tcPr>
          <w:p w14:paraId="35628F86">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p>
        </w:tc>
        <w:tc>
          <w:tcPr>
            <w:tcW w:w="1485" w:type="dxa"/>
            <w:noWrap/>
            <w:vAlign w:val="center"/>
          </w:tcPr>
          <w:p w14:paraId="1AC26B65">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邮政编码</w:t>
            </w:r>
          </w:p>
        </w:tc>
        <w:tc>
          <w:tcPr>
            <w:tcW w:w="2529" w:type="dxa"/>
            <w:gridSpan w:val="2"/>
            <w:noWrap/>
            <w:vAlign w:val="center"/>
          </w:tcPr>
          <w:p w14:paraId="3F6AE035">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p>
        </w:tc>
      </w:tr>
      <w:tr w14:paraId="5B8198E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92" w:type="dxa"/>
            <w:vMerge w:val="restart"/>
            <w:noWrap/>
            <w:vAlign w:val="center"/>
          </w:tcPr>
          <w:p w14:paraId="78A97399">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联系方式</w:t>
            </w:r>
          </w:p>
        </w:tc>
        <w:tc>
          <w:tcPr>
            <w:tcW w:w="1087" w:type="dxa"/>
            <w:noWrap/>
            <w:vAlign w:val="center"/>
          </w:tcPr>
          <w:p w14:paraId="1DD5C29B">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联系人</w:t>
            </w:r>
          </w:p>
        </w:tc>
        <w:tc>
          <w:tcPr>
            <w:tcW w:w="2770" w:type="dxa"/>
            <w:gridSpan w:val="2"/>
            <w:noWrap/>
            <w:vAlign w:val="center"/>
          </w:tcPr>
          <w:p w14:paraId="2589B7B7">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p>
        </w:tc>
        <w:tc>
          <w:tcPr>
            <w:tcW w:w="1493" w:type="dxa"/>
            <w:gridSpan w:val="2"/>
            <w:noWrap/>
            <w:vAlign w:val="center"/>
          </w:tcPr>
          <w:p w14:paraId="0B976BD1">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电话</w:t>
            </w:r>
          </w:p>
        </w:tc>
        <w:tc>
          <w:tcPr>
            <w:tcW w:w="2529" w:type="dxa"/>
            <w:gridSpan w:val="2"/>
            <w:noWrap/>
            <w:vAlign w:val="center"/>
          </w:tcPr>
          <w:p w14:paraId="064653DC">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p>
        </w:tc>
      </w:tr>
      <w:tr w14:paraId="1270945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692" w:type="dxa"/>
            <w:vMerge w:val="continue"/>
            <w:noWrap/>
            <w:vAlign w:val="center"/>
          </w:tcPr>
          <w:p w14:paraId="0C842F81">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p>
        </w:tc>
        <w:tc>
          <w:tcPr>
            <w:tcW w:w="1087" w:type="dxa"/>
            <w:noWrap/>
            <w:vAlign w:val="center"/>
          </w:tcPr>
          <w:p w14:paraId="35E9BECA">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传真</w:t>
            </w:r>
          </w:p>
        </w:tc>
        <w:tc>
          <w:tcPr>
            <w:tcW w:w="2770" w:type="dxa"/>
            <w:gridSpan w:val="2"/>
            <w:noWrap/>
            <w:vAlign w:val="center"/>
          </w:tcPr>
          <w:p w14:paraId="3012EF17">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p>
        </w:tc>
        <w:tc>
          <w:tcPr>
            <w:tcW w:w="1493" w:type="dxa"/>
            <w:gridSpan w:val="2"/>
            <w:noWrap/>
            <w:vAlign w:val="center"/>
          </w:tcPr>
          <w:p w14:paraId="71FF9F5F">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网址</w:t>
            </w:r>
          </w:p>
        </w:tc>
        <w:tc>
          <w:tcPr>
            <w:tcW w:w="2529" w:type="dxa"/>
            <w:gridSpan w:val="2"/>
            <w:noWrap/>
            <w:vAlign w:val="center"/>
          </w:tcPr>
          <w:p w14:paraId="31EE5E1A">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p>
        </w:tc>
      </w:tr>
      <w:tr w14:paraId="244C25CD">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92" w:type="dxa"/>
            <w:noWrap/>
            <w:vAlign w:val="center"/>
          </w:tcPr>
          <w:p w14:paraId="050E8B1A">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组织结构</w:t>
            </w:r>
          </w:p>
        </w:tc>
        <w:tc>
          <w:tcPr>
            <w:tcW w:w="7879" w:type="dxa"/>
            <w:gridSpan w:val="7"/>
            <w:noWrap/>
            <w:vAlign w:val="center"/>
          </w:tcPr>
          <w:p w14:paraId="54BF6D32">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p>
        </w:tc>
      </w:tr>
      <w:tr w14:paraId="6644C98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692" w:type="dxa"/>
            <w:noWrap/>
            <w:vAlign w:val="center"/>
          </w:tcPr>
          <w:p w14:paraId="015E96FD">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法定代表人</w:t>
            </w:r>
          </w:p>
        </w:tc>
        <w:tc>
          <w:tcPr>
            <w:tcW w:w="1087" w:type="dxa"/>
            <w:noWrap/>
            <w:vAlign w:val="center"/>
          </w:tcPr>
          <w:p w14:paraId="110F9E36">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姓名</w:t>
            </w:r>
          </w:p>
        </w:tc>
        <w:tc>
          <w:tcPr>
            <w:tcW w:w="1365" w:type="dxa"/>
            <w:noWrap/>
            <w:vAlign w:val="center"/>
          </w:tcPr>
          <w:p w14:paraId="79C9E9FD">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p>
        </w:tc>
        <w:tc>
          <w:tcPr>
            <w:tcW w:w="1405" w:type="dxa"/>
            <w:noWrap/>
            <w:vAlign w:val="center"/>
          </w:tcPr>
          <w:p w14:paraId="77C6B934">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技术职称</w:t>
            </w:r>
          </w:p>
        </w:tc>
        <w:tc>
          <w:tcPr>
            <w:tcW w:w="1493" w:type="dxa"/>
            <w:gridSpan w:val="2"/>
            <w:noWrap/>
            <w:vAlign w:val="center"/>
          </w:tcPr>
          <w:p w14:paraId="21844C16">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p>
        </w:tc>
        <w:tc>
          <w:tcPr>
            <w:tcW w:w="1317" w:type="dxa"/>
            <w:noWrap/>
            <w:vAlign w:val="center"/>
          </w:tcPr>
          <w:p w14:paraId="28601B66">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电话</w:t>
            </w:r>
          </w:p>
        </w:tc>
        <w:tc>
          <w:tcPr>
            <w:tcW w:w="1212" w:type="dxa"/>
            <w:noWrap/>
            <w:vAlign w:val="center"/>
          </w:tcPr>
          <w:p w14:paraId="373F1194">
            <w:pPr>
              <w:keepLines w:val="0"/>
              <w:pageBreakBefore w:val="0"/>
              <w:kinsoku/>
              <w:overflowPunct/>
              <w:autoSpaceDE w:val="0"/>
              <w:autoSpaceDN w:val="0"/>
              <w:bidi w:val="0"/>
              <w:adjustRightInd w:val="0"/>
              <w:spacing w:line="360" w:lineRule="auto"/>
              <w:jc w:val="center"/>
              <w:outlineLvl w:val="5"/>
              <w:rPr>
                <w:rFonts w:hAnsi="宋体" w:cs="宋体"/>
                <w:b/>
                <w:bCs/>
                <w:color w:val="auto"/>
                <w:sz w:val="22"/>
                <w:highlight w:val="none"/>
              </w:rPr>
            </w:pPr>
          </w:p>
        </w:tc>
      </w:tr>
      <w:tr w14:paraId="05F0A62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692" w:type="dxa"/>
            <w:noWrap/>
            <w:vAlign w:val="center"/>
          </w:tcPr>
          <w:p w14:paraId="4B8D4195">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技术负责人</w:t>
            </w:r>
          </w:p>
        </w:tc>
        <w:tc>
          <w:tcPr>
            <w:tcW w:w="1087" w:type="dxa"/>
            <w:noWrap/>
            <w:vAlign w:val="center"/>
          </w:tcPr>
          <w:p w14:paraId="167CEC80">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姓名</w:t>
            </w:r>
          </w:p>
        </w:tc>
        <w:tc>
          <w:tcPr>
            <w:tcW w:w="1365" w:type="dxa"/>
            <w:noWrap/>
            <w:vAlign w:val="center"/>
          </w:tcPr>
          <w:p w14:paraId="56BEC49E">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p>
        </w:tc>
        <w:tc>
          <w:tcPr>
            <w:tcW w:w="1405" w:type="dxa"/>
            <w:noWrap/>
            <w:vAlign w:val="center"/>
          </w:tcPr>
          <w:p w14:paraId="1D845E44">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技术职称</w:t>
            </w:r>
          </w:p>
        </w:tc>
        <w:tc>
          <w:tcPr>
            <w:tcW w:w="1493" w:type="dxa"/>
            <w:gridSpan w:val="2"/>
            <w:noWrap/>
            <w:vAlign w:val="center"/>
          </w:tcPr>
          <w:p w14:paraId="40BA9456">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p>
        </w:tc>
        <w:tc>
          <w:tcPr>
            <w:tcW w:w="1317" w:type="dxa"/>
            <w:noWrap/>
            <w:vAlign w:val="center"/>
          </w:tcPr>
          <w:p w14:paraId="5D2E7482">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电话</w:t>
            </w:r>
          </w:p>
        </w:tc>
        <w:tc>
          <w:tcPr>
            <w:tcW w:w="1212" w:type="dxa"/>
            <w:noWrap/>
            <w:vAlign w:val="center"/>
          </w:tcPr>
          <w:p w14:paraId="7CA6965A">
            <w:pPr>
              <w:keepLines w:val="0"/>
              <w:pageBreakBefore w:val="0"/>
              <w:kinsoku/>
              <w:overflowPunct/>
              <w:autoSpaceDE w:val="0"/>
              <w:autoSpaceDN w:val="0"/>
              <w:bidi w:val="0"/>
              <w:adjustRightInd w:val="0"/>
              <w:spacing w:line="360" w:lineRule="auto"/>
              <w:jc w:val="center"/>
              <w:outlineLvl w:val="5"/>
              <w:rPr>
                <w:rFonts w:hAnsi="宋体" w:cs="宋体"/>
                <w:b/>
                <w:bCs/>
                <w:color w:val="auto"/>
                <w:sz w:val="22"/>
                <w:highlight w:val="none"/>
              </w:rPr>
            </w:pPr>
          </w:p>
        </w:tc>
      </w:tr>
      <w:tr w14:paraId="01CD894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92" w:type="dxa"/>
            <w:noWrap/>
            <w:vAlign w:val="center"/>
          </w:tcPr>
          <w:p w14:paraId="1AA871F2">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成立时间</w:t>
            </w:r>
          </w:p>
        </w:tc>
        <w:tc>
          <w:tcPr>
            <w:tcW w:w="2452" w:type="dxa"/>
            <w:gridSpan w:val="2"/>
            <w:noWrap/>
            <w:vAlign w:val="center"/>
          </w:tcPr>
          <w:p w14:paraId="7D3C7B3B">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p>
        </w:tc>
        <w:tc>
          <w:tcPr>
            <w:tcW w:w="5427" w:type="dxa"/>
            <w:gridSpan w:val="5"/>
            <w:noWrap/>
            <w:vAlign w:val="center"/>
          </w:tcPr>
          <w:p w14:paraId="20DF3DFB">
            <w:pPr>
              <w:keepLines w:val="0"/>
              <w:pageBreakBefore w:val="0"/>
              <w:kinsoku/>
              <w:overflowPunct/>
              <w:autoSpaceDE w:val="0"/>
              <w:autoSpaceDN w:val="0"/>
              <w:bidi w:val="0"/>
              <w:adjustRightInd w:val="0"/>
              <w:spacing w:line="360" w:lineRule="auto"/>
              <w:ind w:firstLine="1540" w:firstLineChars="700"/>
              <w:outlineLvl w:val="5"/>
              <w:rPr>
                <w:rFonts w:hAnsi="宋体" w:cs="宋体"/>
                <w:color w:val="auto"/>
                <w:sz w:val="22"/>
                <w:highlight w:val="none"/>
              </w:rPr>
            </w:pPr>
            <w:r>
              <w:rPr>
                <w:rFonts w:hint="eastAsia" w:hAnsi="宋体" w:cs="宋体"/>
                <w:color w:val="auto"/>
                <w:sz w:val="22"/>
                <w:highlight w:val="none"/>
              </w:rPr>
              <w:t>员工总人数：</w:t>
            </w:r>
          </w:p>
        </w:tc>
      </w:tr>
      <w:tr w14:paraId="4EE7C6D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692" w:type="dxa"/>
            <w:noWrap/>
            <w:vAlign w:val="center"/>
          </w:tcPr>
          <w:p w14:paraId="3A0A5996">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企业资质等级</w:t>
            </w:r>
          </w:p>
        </w:tc>
        <w:tc>
          <w:tcPr>
            <w:tcW w:w="7879" w:type="dxa"/>
            <w:gridSpan w:val="7"/>
            <w:tcBorders>
              <w:bottom w:val="single" w:color="auto" w:sz="4" w:space="0"/>
            </w:tcBorders>
            <w:noWrap/>
            <w:vAlign w:val="center"/>
          </w:tcPr>
          <w:p w14:paraId="1BFDE6C1">
            <w:pPr>
              <w:keepLines w:val="0"/>
              <w:pageBreakBefore w:val="0"/>
              <w:kinsoku/>
              <w:overflowPunct/>
              <w:autoSpaceDE w:val="0"/>
              <w:autoSpaceDN w:val="0"/>
              <w:bidi w:val="0"/>
              <w:adjustRightInd w:val="0"/>
              <w:spacing w:line="360" w:lineRule="auto"/>
              <w:jc w:val="center"/>
              <w:outlineLvl w:val="5"/>
              <w:rPr>
                <w:rFonts w:hAnsi="宋体" w:cs="宋体"/>
                <w:b/>
                <w:bCs/>
                <w:color w:val="auto"/>
                <w:sz w:val="22"/>
                <w:highlight w:val="none"/>
              </w:rPr>
            </w:pPr>
          </w:p>
        </w:tc>
      </w:tr>
      <w:tr w14:paraId="48CA951A">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92" w:type="dxa"/>
            <w:noWrap/>
            <w:vAlign w:val="center"/>
          </w:tcPr>
          <w:p w14:paraId="78575401">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营业执照号</w:t>
            </w:r>
          </w:p>
        </w:tc>
        <w:tc>
          <w:tcPr>
            <w:tcW w:w="7879" w:type="dxa"/>
            <w:gridSpan w:val="7"/>
            <w:tcBorders>
              <w:top w:val="single" w:color="auto" w:sz="4" w:space="0"/>
              <w:bottom w:val="single" w:color="auto" w:sz="4" w:space="0"/>
            </w:tcBorders>
            <w:noWrap/>
            <w:vAlign w:val="center"/>
          </w:tcPr>
          <w:p w14:paraId="5F88CF08">
            <w:pPr>
              <w:keepLines w:val="0"/>
              <w:pageBreakBefore w:val="0"/>
              <w:kinsoku/>
              <w:overflowPunct/>
              <w:autoSpaceDE w:val="0"/>
              <w:autoSpaceDN w:val="0"/>
              <w:bidi w:val="0"/>
              <w:adjustRightInd w:val="0"/>
              <w:spacing w:line="360" w:lineRule="auto"/>
              <w:jc w:val="center"/>
              <w:outlineLvl w:val="5"/>
              <w:rPr>
                <w:rFonts w:hAnsi="宋体" w:cs="宋体"/>
                <w:b/>
                <w:bCs/>
                <w:color w:val="auto"/>
                <w:sz w:val="22"/>
                <w:highlight w:val="none"/>
              </w:rPr>
            </w:pPr>
          </w:p>
        </w:tc>
      </w:tr>
      <w:tr w14:paraId="1972487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92" w:type="dxa"/>
            <w:noWrap/>
            <w:vAlign w:val="center"/>
          </w:tcPr>
          <w:p w14:paraId="39FBE626">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注册资金</w:t>
            </w:r>
          </w:p>
        </w:tc>
        <w:tc>
          <w:tcPr>
            <w:tcW w:w="7879" w:type="dxa"/>
            <w:gridSpan w:val="7"/>
            <w:tcBorders>
              <w:top w:val="single" w:color="auto" w:sz="4" w:space="0"/>
              <w:bottom w:val="single" w:color="auto" w:sz="4" w:space="0"/>
            </w:tcBorders>
            <w:noWrap/>
            <w:vAlign w:val="center"/>
          </w:tcPr>
          <w:p w14:paraId="5F961E09">
            <w:pPr>
              <w:keepLines w:val="0"/>
              <w:pageBreakBefore w:val="0"/>
              <w:kinsoku/>
              <w:overflowPunct/>
              <w:autoSpaceDE w:val="0"/>
              <w:autoSpaceDN w:val="0"/>
              <w:bidi w:val="0"/>
              <w:adjustRightInd w:val="0"/>
              <w:spacing w:line="360" w:lineRule="auto"/>
              <w:jc w:val="center"/>
              <w:outlineLvl w:val="5"/>
              <w:rPr>
                <w:rFonts w:hAnsi="宋体" w:cs="宋体"/>
                <w:b/>
                <w:bCs/>
                <w:color w:val="auto"/>
                <w:sz w:val="22"/>
                <w:highlight w:val="none"/>
              </w:rPr>
            </w:pPr>
          </w:p>
        </w:tc>
      </w:tr>
      <w:tr w14:paraId="6A1ECD7F">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692" w:type="dxa"/>
            <w:noWrap/>
            <w:vAlign w:val="center"/>
          </w:tcPr>
          <w:p w14:paraId="56B0166A">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开户银行</w:t>
            </w:r>
          </w:p>
        </w:tc>
        <w:tc>
          <w:tcPr>
            <w:tcW w:w="7879" w:type="dxa"/>
            <w:gridSpan w:val="7"/>
            <w:tcBorders>
              <w:top w:val="single" w:color="auto" w:sz="4" w:space="0"/>
              <w:bottom w:val="single" w:color="auto" w:sz="4" w:space="0"/>
            </w:tcBorders>
            <w:noWrap/>
            <w:vAlign w:val="center"/>
          </w:tcPr>
          <w:p w14:paraId="15241E25">
            <w:pPr>
              <w:keepLines w:val="0"/>
              <w:pageBreakBefore w:val="0"/>
              <w:kinsoku/>
              <w:overflowPunct/>
              <w:autoSpaceDE w:val="0"/>
              <w:autoSpaceDN w:val="0"/>
              <w:bidi w:val="0"/>
              <w:adjustRightInd w:val="0"/>
              <w:spacing w:line="360" w:lineRule="auto"/>
              <w:jc w:val="center"/>
              <w:outlineLvl w:val="5"/>
              <w:rPr>
                <w:rFonts w:hAnsi="宋体" w:cs="宋体"/>
                <w:b/>
                <w:bCs/>
                <w:color w:val="auto"/>
                <w:sz w:val="22"/>
                <w:highlight w:val="none"/>
              </w:rPr>
            </w:pPr>
          </w:p>
        </w:tc>
      </w:tr>
      <w:tr w14:paraId="3FEE2B9C">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692" w:type="dxa"/>
            <w:noWrap/>
            <w:vAlign w:val="center"/>
          </w:tcPr>
          <w:p w14:paraId="6A1E7D43">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账号</w:t>
            </w:r>
          </w:p>
        </w:tc>
        <w:tc>
          <w:tcPr>
            <w:tcW w:w="7879" w:type="dxa"/>
            <w:gridSpan w:val="7"/>
            <w:tcBorders>
              <w:top w:val="single" w:color="auto" w:sz="4" w:space="0"/>
            </w:tcBorders>
            <w:noWrap/>
            <w:vAlign w:val="center"/>
          </w:tcPr>
          <w:p w14:paraId="73E535F9">
            <w:pPr>
              <w:keepLines w:val="0"/>
              <w:pageBreakBefore w:val="0"/>
              <w:kinsoku/>
              <w:overflowPunct/>
              <w:autoSpaceDE w:val="0"/>
              <w:autoSpaceDN w:val="0"/>
              <w:bidi w:val="0"/>
              <w:adjustRightInd w:val="0"/>
              <w:spacing w:line="360" w:lineRule="auto"/>
              <w:jc w:val="center"/>
              <w:outlineLvl w:val="5"/>
              <w:rPr>
                <w:rFonts w:hAnsi="宋体" w:cs="宋体"/>
                <w:b/>
                <w:bCs/>
                <w:color w:val="auto"/>
                <w:sz w:val="22"/>
                <w:highlight w:val="none"/>
              </w:rPr>
            </w:pPr>
          </w:p>
        </w:tc>
      </w:tr>
      <w:tr w14:paraId="7B9BD83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692" w:type="dxa"/>
            <w:noWrap/>
            <w:vAlign w:val="center"/>
          </w:tcPr>
          <w:p w14:paraId="68D92307">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经营范围</w:t>
            </w:r>
          </w:p>
        </w:tc>
        <w:tc>
          <w:tcPr>
            <w:tcW w:w="7879" w:type="dxa"/>
            <w:gridSpan w:val="7"/>
            <w:noWrap/>
            <w:vAlign w:val="center"/>
          </w:tcPr>
          <w:p w14:paraId="6FC8AD9A">
            <w:pPr>
              <w:keepLines w:val="0"/>
              <w:pageBreakBefore w:val="0"/>
              <w:kinsoku/>
              <w:overflowPunct/>
              <w:autoSpaceDE w:val="0"/>
              <w:autoSpaceDN w:val="0"/>
              <w:bidi w:val="0"/>
              <w:adjustRightInd w:val="0"/>
              <w:spacing w:line="360" w:lineRule="auto"/>
              <w:outlineLvl w:val="5"/>
              <w:rPr>
                <w:rFonts w:hAnsi="宋体" w:cs="宋体"/>
                <w:b/>
                <w:bCs/>
                <w:color w:val="auto"/>
                <w:sz w:val="22"/>
                <w:highlight w:val="none"/>
              </w:rPr>
            </w:pPr>
          </w:p>
        </w:tc>
      </w:tr>
      <w:tr w14:paraId="06A2CE3B">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692" w:type="dxa"/>
            <w:noWrap/>
            <w:vAlign w:val="center"/>
          </w:tcPr>
          <w:p w14:paraId="1E50272D">
            <w:pPr>
              <w:keepLines w:val="0"/>
              <w:pageBreakBefore w:val="0"/>
              <w:kinsoku/>
              <w:overflowPunct/>
              <w:autoSpaceDE w:val="0"/>
              <w:autoSpaceDN w:val="0"/>
              <w:bidi w:val="0"/>
              <w:adjustRightInd w:val="0"/>
              <w:spacing w:line="360" w:lineRule="auto"/>
              <w:jc w:val="center"/>
              <w:outlineLvl w:val="5"/>
              <w:rPr>
                <w:rFonts w:hAnsi="宋体" w:cs="宋体"/>
                <w:color w:val="auto"/>
                <w:sz w:val="22"/>
                <w:highlight w:val="none"/>
              </w:rPr>
            </w:pPr>
            <w:r>
              <w:rPr>
                <w:rFonts w:hint="eastAsia" w:hAnsi="宋体" w:cs="宋体"/>
                <w:color w:val="auto"/>
                <w:sz w:val="22"/>
                <w:highlight w:val="none"/>
              </w:rPr>
              <w:t>备注</w:t>
            </w:r>
          </w:p>
        </w:tc>
        <w:tc>
          <w:tcPr>
            <w:tcW w:w="7879" w:type="dxa"/>
            <w:gridSpan w:val="7"/>
            <w:noWrap/>
          </w:tcPr>
          <w:p w14:paraId="78E96C0C">
            <w:pPr>
              <w:keepLines w:val="0"/>
              <w:pageBreakBefore w:val="0"/>
              <w:kinsoku/>
              <w:overflowPunct/>
              <w:autoSpaceDE w:val="0"/>
              <w:autoSpaceDN w:val="0"/>
              <w:bidi w:val="0"/>
              <w:adjustRightInd w:val="0"/>
              <w:spacing w:line="360" w:lineRule="auto"/>
              <w:outlineLvl w:val="5"/>
              <w:rPr>
                <w:rFonts w:hAnsi="宋体" w:cs="宋体"/>
                <w:color w:val="auto"/>
                <w:sz w:val="22"/>
                <w:highlight w:val="none"/>
              </w:rPr>
            </w:pPr>
          </w:p>
        </w:tc>
      </w:tr>
    </w:tbl>
    <w:p w14:paraId="5DE9BB88">
      <w:pPr>
        <w:keepNext w:val="0"/>
        <w:keepLines w:val="0"/>
        <w:pageBreakBefore w:val="0"/>
        <w:widowControl/>
        <w:kinsoku/>
        <w:wordWrap/>
        <w:overflowPunct/>
        <w:topLinePunct w:val="0"/>
        <w:autoSpaceDE/>
        <w:autoSpaceDN/>
        <w:bidi w:val="0"/>
        <w:adjustRightInd w:val="0"/>
        <w:snapToGrid w:val="0"/>
        <w:spacing w:line="360" w:lineRule="auto"/>
        <w:textAlignment w:val="auto"/>
        <w:rPr>
          <w:rFonts w:hAnsi="宋体" w:cs="宋体"/>
          <w:b/>
          <w:color w:val="auto"/>
          <w:highlight w:val="none"/>
        </w:rPr>
      </w:pPr>
    </w:p>
    <w:p w14:paraId="0901F7C7">
      <w:pPr>
        <w:keepLines w:val="0"/>
        <w:pageBreakBefore w:val="0"/>
        <w:kinsoku/>
        <w:overflowPunct/>
        <w:bidi w:val="0"/>
        <w:adjustRightInd w:val="0"/>
        <w:spacing w:line="360" w:lineRule="auto"/>
        <w:rPr>
          <w:rFonts w:hint="eastAsia" w:hAnsi="宋体"/>
          <w:color w:val="auto"/>
          <w:highlight w:val="none"/>
        </w:rPr>
      </w:pPr>
      <w:r>
        <w:rPr>
          <w:rFonts w:hint="eastAsia" w:hAnsi="宋体"/>
          <w:color w:val="auto"/>
          <w:highlight w:val="none"/>
        </w:rPr>
        <w:t>投标人名称（盖单位公章）：</w:t>
      </w:r>
    </w:p>
    <w:p w14:paraId="58F85259">
      <w:pPr>
        <w:keepLines w:val="0"/>
        <w:pageBreakBefore w:val="0"/>
        <w:kinsoku/>
        <w:overflowPunct/>
        <w:bidi w:val="0"/>
        <w:adjustRightInd w:val="0"/>
        <w:spacing w:line="360" w:lineRule="auto"/>
        <w:rPr>
          <w:rFonts w:hint="eastAsia" w:hAnsi="宋体"/>
          <w:color w:val="auto"/>
          <w:highlight w:val="none"/>
        </w:rPr>
      </w:pPr>
      <w:r>
        <w:rPr>
          <w:rFonts w:hint="eastAsia" w:hAnsi="宋体"/>
          <w:color w:val="auto"/>
          <w:highlight w:val="none"/>
        </w:rPr>
        <w:t>法定代表人或授权代表（签字）：</w:t>
      </w:r>
    </w:p>
    <w:p w14:paraId="186F31FC">
      <w:pPr>
        <w:keepLines w:val="0"/>
        <w:pageBreakBefore w:val="0"/>
        <w:kinsoku/>
        <w:overflowPunct/>
        <w:bidi w:val="0"/>
        <w:adjustRightInd w:val="0"/>
        <w:spacing w:line="360" w:lineRule="auto"/>
        <w:rPr>
          <w:rFonts w:hint="eastAsia" w:hAnsi="宋体"/>
          <w:color w:val="auto"/>
          <w:highlight w:val="none"/>
          <w:lang w:eastAsia="zh-CN"/>
        </w:rPr>
        <w:sectPr>
          <w:headerReference r:id="rId25" w:type="first"/>
          <w:footerReference r:id="rId26" w:type="firs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hAnsi="宋体"/>
          <w:color w:val="auto"/>
          <w:highlight w:val="none"/>
        </w:rPr>
        <w:t>日期</w:t>
      </w:r>
      <w:r>
        <w:rPr>
          <w:rFonts w:hint="eastAsia" w:hAnsi="宋体"/>
          <w:color w:val="auto"/>
          <w:highlight w:val="none"/>
          <w:lang w:eastAsia="zh-CN"/>
        </w:rPr>
        <w:t>：</w:t>
      </w:r>
      <w:bookmarkStart w:id="139" w:name="_Toc217446089"/>
    </w:p>
    <w:p w14:paraId="417EA75A">
      <w:pPr>
        <w:pStyle w:val="3"/>
        <w:keepLines w:val="0"/>
        <w:pageBreakBefore w:val="0"/>
        <w:widowControl/>
        <w:kinsoku/>
        <w:wordWrap/>
        <w:overflowPunct/>
        <w:topLinePunct w:val="0"/>
        <w:autoSpaceDE/>
        <w:autoSpaceDN/>
        <w:bidi w:val="0"/>
        <w:spacing w:line="480" w:lineRule="auto"/>
        <w:textAlignment w:val="auto"/>
        <w:rPr>
          <w:rFonts w:hint="eastAsia"/>
          <w:color w:val="auto"/>
          <w:sz w:val="32"/>
          <w:szCs w:val="32"/>
          <w:highlight w:val="none"/>
          <w:lang w:val="en-US" w:eastAsia="zh-CN"/>
        </w:rPr>
      </w:pPr>
      <w:r>
        <w:rPr>
          <w:rFonts w:hint="eastAsia"/>
          <w:color w:val="auto"/>
          <w:sz w:val="32"/>
          <w:szCs w:val="32"/>
          <w:highlight w:val="none"/>
          <w:lang w:val="en-US" w:eastAsia="zh-CN"/>
        </w:rPr>
        <w:t>十、投标人类似项目业绩一览表</w:t>
      </w:r>
      <w:bookmarkEnd w:id="139"/>
    </w:p>
    <w:p w14:paraId="4ABA5131">
      <w:pPr>
        <w:keepLines w:val="0"/>
        <w:pageBreakBefore w:val="0"/>
        <w:kinsoku/>
        <w:overflowPunct/>
        <w:bidi w:val="0"/>
        <w:spacing w:line="360" w:lineRule="auto"/>
        <w:rPr>
          <w:rFonts w:hint="eastAsia" w:hAnsi="宋体"/>
          <w:b/>
          <w:color w:val="auto"/>
          <w:highlight w:val="none"/>
        </w:rPr>
      </w:pPr>
      <w:r>
        <w:rPr>
          <w:rFonts w:hint="eastAsia" w:hAnsi="宋体"/>
          <w:b/>
          <w:color w:val="auto"/>
          <w:highlight w:val="none"/>
        </w:rPr>
        <w:t xml:space="preserve">项目名称：   招标编号： </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1198"/>
        <w:gridCol w:w="2391"/>
        <w:gridCol w:w="2753"/>
        <w:gridCol w:w="1794"/>
        <w:gridCol w:w="1705"/>
      </w:tblGrid>
      <w:tr w14:paraId="34132C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198" w:type="dxa"/>
            <w:tcBorders>
              <w:top w:val="single" w:color="auto" w:sz="4" w:space="0"/>
            </w:tcBorders>
            <w:noWrap/>
            <w:vAlign w:val="center"/>
          </w:tcPr>
          <w:p w14:paraId="0A70C3E7">
            <w:pPr>
              <w:keepLines w:val="0"/>
              <w:pageBreakBefore w:val="0"/>
              <w:kinsoku/>
              <w:overflowPunct/>
              <w:bidi w:val="0"/>
              <w:spacing w:line="360" w:lineRule="auto"/>
              <w:ind w:firstLine="120" w:firstLineChars="50"/>
              <w:outlineLvl w:val="5"/>
              <w:rPr>
                <w:rFonts w:hAnsi="宋体" w:cs="宋体"/>
                <w:b/>
                <w:color w:val="auto"/>
                <w:highlight w:val="none"/>
              </w:rPr>
            </w:pPr>
            <w:r>
              <w:rPr>
                <w:rFonts w:hint="eastAsia" w:hAnsi="宋体" w:cs="宋体"/>
                <w:b/>
                <w:color w:val="auto"/>
                <w:highlight w:val="none"/>
              </w:rPr>
              <w:t>年份</w:t>
            </w:r>
          </w:p>
        </w:tc>
        <w:tc>
          <w:tcPr>
            <w:tcW w:w="2391" w:type="dxa"/>
            <w:noWrap/>
            <w:vAlign w:val="center"/>
          </w:tcPr>
          <w:p w14:paraId="2B3AD01B">
            <w:pPr>
              <w:keepLines w:val="0"/>
              <w:pageBreakBefore w:val="0"/>
              <w:kinsoku/>
              <w:overflowPunct/>
              <w:bidi w:val="0"/>
              <w:spacing w:line="360" w:lineRule="auto"/>
              <w:jc w:val="center"/>
              <w:outlineLvl w:val="5"/>
              <w:rPr>
                <w:rFonts w:hAnsi="宋体" w:cs="宋体"/>
                <w:b/>
                <w:color w:val="auto"/>
                <w:highlight w:val="none"/>
              </w:rPr>
            </w:pPr>
            <w:r>
              <w:rPr>
                <w:rFonts w:hint="eastAsia" w:hAnsi="宋体" w:cs="宋体"/>
                <w:b/>
                <w:color w:val="auto"/>
                <w:highlight w:val="none"/>
              </w:rPr>
              <w:t>采购人名称</w:t>
            </w:r>
          </w:p>
        </w:tc>
        <w:tc>
          <w:tcPr>
            <w:tcW w:w="2753" w:type="dxa"/>
            <w:noWrap/>
            <w:vAlign w:val="center"/>
          </w:tcPr>
          <w:p w14:paraId="72F394D8">
            <w:pPr>
              <w:keepLines w:val="0"/>
              <w:pageBreakBefore w:val="0"/>
              <w:kinsoku/>
              <w:overflowPunct/>
              <w:bidi w:val="0"/>
              <w:spacing w:line="360" w:lineRule="auto"/>
              <w:jc w:val="center"/>
              <w:outlineLvl w:val="5"/>
              <w:rPr>
                <w:rFonts w:hAnsi="宋体" w:cs="宋体"/>
                <w:b/>
                <w:color w:val="auto"/>
                <w:highlight w:val="none"/>
              </w:rPr>
            </w:pPr>
            <w:r>
              <w:rPr>
                <w:rFonts w:hint="eastAsia" w:hAnsi="宋体" w:cs="宋体"/>
                <w:b/>
                <w:color w:val="auto"/>
                <w:highlight w:val="none"/>
              </w:rPr>
              <w:t>项目名称</w:t>
            </w:r>
          </w:p>
        </w:tc>
        <w:tc>
          <w:tcPr>
            <w:tcW w:w="1794" w:type="dxa"/>
            <w:noWrap/>
            <w:vAlign w:val="center"/>
          </w:tcPr>
          <w:p w14:paraId="58E42964">
            <w:pPr>
              <w:keepLines w:val="0"/>
              <w:pageBreakBefore w:val="0"/>
              <w:kinsoku/>
              <w:overflowPunct/>
              <w:bidi w:val="0"/>
              <w:spacing w:line="360" w:lineRule="auto"/>
              <w:jc w:val="center"/>
              <w:outlineLvl w:val="5"/>
              <w:rPr>
                <w:rFonts w:hAnsi="宋体" w:cs="宋体"/>
                <w:b/>
                <w:color w:val="auto"/>
                <w:highlight w:val="none"/>
              </w:rPr>
            </w:pPr>
            <w:r>
              <w:rPr>
                <w:rFonts w:hint="eastAsia" w:hAnsi="宋体" w:cs="宋体"/>
                <w:b/>
                <w:color w:val="auto"/>
                <w:highlight w:val="none"/>
              </w:rPr>
              <w:t>合同金额</w:t>
            </w:r>
          </w:p>
        </w:tc>
        <w:tc>
          <w:tcPr>
            <w:tcW w:w="1705" w:type="dxa"/>
            <w:tcBorders>
              <w:left w:val="single" w:color="auto" w:sz="4" w:space="0"/>
            </w:tcBorders>
            <w:noWrap/>
            <w:vAlign w:val="center"/>
          </w:tcPr>
          <w:p w14:paraId="4A44079E">
            <w:pPr>
              <w:keepLines w:val="0"/>
              <w:pageBreakBefore w:val="0"/>
              <w:kinsoku/>
              <w:overflowPunct/>
              <w:bidi w:val="0"/>
              <w:spacing w:line="360" w:lineRule="auto"/>
              <w:outlineLvl w:val="5"/>
              <w:rPr>
                <w:rFonts w:hAnsi="宋体" w:cs="宋体"/>
                <w:b/>
                <w:color w:val="auto"/>
                <w:highlight w:val="none"/>
              </w:rPr>
            </w:pPr>
            <w:r>
              <w:rPr>
                <w:rFonts w:hint="eastAsia" w:hAnsi="宋体" w:cs="宋体"/>
                <w:b/>
                <w:color w:val="auto"/>
                <w:highlight w:val="none"/>
              </w:rPr>
              <w:t xml:space="preserve">   备注</w:t>
            </w:r>
          </w:p>
        </w:tc>
      </w:tr>
      <w:tr w14:paraId="638E9F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198" w:type="dxa"/>
            <w:noWrap/>
            <w:vAlign w:val="center"/>
          </w:tcPr>
          <w:p w14:paraId="3699B93B">
            <w:pPr>
              <w:keepLines w:val="0"/>
              <w:pageBreakBefore w:val="0"/>
              <w:kinsoku/>
              <w:overflowPunct/>
              <w:bidi w:val="0"/>
              <w:spacing w:line="360" w:lineRule="auto"/>
              <w:jc w:val="center"/>
              <w:outlineLvl w:val="5"/>
              <w:rPr>
                <w:rFonts w:hAnsi="宋体" w:cs="宋体"/>
                <w:color w:val="auto"/>
                <w:highlight w:val="none"/>
              </w:rPr>
            </w:pPr>
          </w:p>
        </w:tc>
        <w:tc>
          <w:tcPr>
            <w:tcW w:w="2391" w:type="dxa"/>
            <w:noWrap/>
            <w:vAlign w:val="center"/>
          </w:tcPr>
          <w:p w14:paraId="751A7B50">
            <w:pPr>
              <w:keepLines w:val="0"/>
              <w:pageBreakBefore w:val="0"/>
              <w:kinsoku/>
              <w:overflowPunct/>
              <w:bidi w:val="0"/>
              <w:spacing w:line="360" w:lineRule="auto"/>
              <w:jc w:val="center"/>
              <w:outlineLvl w:val="5"/>
              <w:rPr>
                <w:rFonts w:hAnsi="宋体" w:cs="宋体"/>
                <w:color w:val="auto"/>
                <w:highlight w:val="none"/>
              </w:rPr>
            </w:pPr>
          </w:p>
        </w:tc>
        <w:tc>
          <w:tcPr>
            <w:tcW w:w="2753" w:type="dxa"/>
            <w:noWrap/>
            <w:vAlign w:val="center"/>
          </w:tcPr>
          <w:p w14:paraId="175A7177">
            <w:pPr>
              <w:keepLines w:val="0"/>
              <w:pageBreakBefore w:val="0"/>
              <w:kinsoku/>
              <w:overflowPunct/>
              <w:bidi w:val="0"/>
              <w:spacing w:line="360" w:lineRule="auto"/>
              <w:jc w:val="center"/>
              <w:outlineLvl w:val="5"/>
              <w:rPr>
                <w:rFonts w:hAnsi="宋体" w:cs="宋体"/>
                <w:color w:val="auto"/>
                <w:highlight w:val="none"/>
              </w:rPr>
            </w:pPr>
          </w:p>
        </w:tc>
        <w:tc>
          <w:tcPr>
            <w:tcW w:w="1794" w:type="dxa"/>
            <w:noWrap/>
            <w:vAlign w:val="center"/>
          </w:tcPr>
          <w:p w14:paraId="13DB1D9C">
            <w:pPr>
              <w:keepLines w:val="0"/>
              <w:pageBreakBefore w:val="0"/>
              <w:kinsoku/>
              <w:overflowPunct/>
              <w:bidi w:val="0"/>
              <w:spacing w:line="360" w:lineRule="auto"/>
              <w:jc w:val="center"/>
              <w:outlineLvl w:val="5"/>
              <w:rPr>
                <w:rFonts w:hAnsi="宋体" w:cs="宋体"/>
                <w:color w:val="auto"/>
                <w:highlight w:val="none"/>
              </w:rPr>
            </w:pPr>
          </w:p>
        </w:tc>
        <w:tc>
          <w:tcPr>
            <w:tcW w:w="1705" w:type="dxa"/>
            <w:tcBorders>
              <w:left w:val="single" w:color="auto" w:sz="4" w:space="0"/>
            </w:tcBorders>
            <w:noWrap/>
            <w:vAlign w:val="center"/>
          </w:tcPr>
          <w:p w14:paraId="60C239FF">
            <w:pPr>
              <w:keepLines w:val="0"/>
              <w:pageBreakBefore w:val="0"/>
              <w:kinsoku/>
              <w:overflowPunct/>
              <w:bidi w:val="0"/>
              <w:spacing w:line="360" w:lineRule="auto"/>
              <w:jc w:val="center"/>
              <w:outlineLvl w:val="5"/>
              <w:rPr>
                <w:rFonts w:hAnsi="宋体" w:cs="宋体"/>
                <w:color w:val="auto"/>
                <w:highlight w:val="none"/>
              </w:rPr>
            </w:pPr>
          </w:p>
        </w:tc>
      </w:tr>
      <w:tr w14:paraId="7AB1592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198" w:type="dxa"/>
            <w:noWrap/>
            <w:vAlign w:val="center"/>
          </w:tcPr>
          <w:p w14:paraId="60E1665F">
            <w:pPr>
              <w:keepLines w:val="0"/>
              <w:pageBreakBefore w:val="0"/>
              <w:kinsoku/>
              <w:overflowPunct/>
              <w:bidi w:val="0"/>
              <w:spacing w:line="360" w:lineRule="auto"/>
              <w:jc w:val="center"/>
              <w:outlineLvl w:val="5"/>
              <w:rPr>
                <w:rFonts w:hAnsi="宋体" w:cs="宋体"/>
                <w:color w:val="auto"/>
                <w:highlight w:val="none"/>
              </w:rPr>
            </w:pPr>
          </w:p>
        </w:tc>
        <w:tc>
          <w:tcPr>
            <w:tcW w:w="2391" w:type="dxa"/>
            <w:noWrap/>
            <w:vAlign w:val="center"/>
          </w:tcPr>
          <w:p w14:paraId="674C8EB0">
            <w:pPr>
              <w:keepLines w:val="0"/>
              <w:pageBreakBefore w:val="0"/>
              <w:kinsoku/>
              <w:overflowPunct/>
              <w:bidi w:val="0"/>
              <w:spacing w:line="360" w:lineRule="auto"/>
              <w:jc w:val="center"/>
              <w:outlineLvl w:val="5"/>
              <w:rPr>
                <w:rFonts w:hAnsi="宋体" w:cs="宋体"/>
                <w:color w:val="auto"/>
                <w:highlight w:val="none"/>
              </w:rPr>
            </w:pPr>
          </w:p>
        </w:tc>
        <w:tc>
          <w:tcPr>
            <w:tcW w:w="2753" w:type="dxa"/>
            <w:noWrap/>
            <w:vAlign w:val="center"/>
          </w:tcPr>
          <w:p w14:paraId="1906D371">
            <w:pPr>
              <w:keepLines w:val="0"/>
              <w:pageBreakBefore w:val="0"/>
              <w:kinsoku/>
              <w:overflowPunct/>
              <w:bidi w:val="0"/>
              <w:spacing w:line="360" w:lineRule="auto"/>
              <w:jc w:val="center"/>
              <w:outlineLvl w:val="5"/>
              <w:rPr>
                <w:rFonts w:hAnsi="宋体" w:cs="宋体"/>
                <w:color w:val="auto"/>
                <w:highlight w:val="none"/>
              </w:rPr>
            </w:pPr>
          </w:p>
        </w:tc>
        <w:tc>
          <w:tcPr>
            <w:tcW w:w="1794" w:type="dxa"/>
            <w:noWrap/>
            <w:vAlign w:val="center"/>
          </w:tcPr>
          <w:p w14:paraId="46FFFB06">
            <w:pPr>
              <w:keepLines w:val="0"/>
              <w:pageBreakBefore w:val="0"/>
              <w:kinsoku/>
              <w:overflowPunct/>
              <w:bidi w:val="0"/>
              <w:spacing w:line="360" w:lineRule="auto"/>
              <w:jc w:val="center"/>
              <w:outlineLvl w:val="5"/>
              <w:rPr>
                <w:rFonts w:hAnsi="宋体" w:cs="宋体"/>
                <w:color w:val="auto"/>
                <w:highlight w:val="none"/>
              </w:rPr>
            </w:pPr>
          </w:p>
        </w:tc>
        <w:tc>
          <w:tcPr>
            <w:tcW w:w="1705" w:type="dxa"/>
            <w:tcBorders>
              <w:left w:val="single" w:color="auto" w:sz="4" w:space="0"/>
            </w:tcBorders>
            <w:noWrap/>
            <w:vAlign w:val="center"/>
          </w:tcPr>
          <w:p w14:paraId="70779C87">
            <w:pPr>
              <w:keepLines w:val="0"/>
              <w:pageBreakBefore w:val="0"/>
              <w:kinsoku/>
              <w:overflowPunct/>
              <w:bidi w:val="0"/>
              <w:spacing w:line="360" w:lineRule="auto"/>
              <w:jc w:val="center"/>
              <w:outlineLvl w:val="5"/>
              <w:rPr>
                <w:rFonts w:hAnsi="宋体" w:cs="宋体"/>
                <w:color w:val="auto"/>
                <w:highlight w:val="none"/>
              </w:rPr>
            </w:pPr>
          </w:p>
        </w:tc>
      </w:tr>
      <w:tr w14:paraId="3643D5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198" w:type="dxa"/>
            <w:noWrap/>
            <w:vAlign w:val="center"/>
          </w:tcPr>
          <w:p w14:paraId="284B67DB">
            <w:pPr>
              <w:keepLines w:val="0"/>
              <w:pageBreakBefore w:val="0"/>
              <w:kinsoku/>
              <w:overflowPunct/>
              <w:bidi w:val="0"/>
              <w:spacing w:line="360" w:lineRule="auto"/>
              <w:jc w:val="center"/>
              <w:outlineLvl w:val="5"/>
              <w:rPr>
                <w:rFonts w:hAnsi="宋体" w:cs="宋体"/>
                <w:color w:val="auto"/>
                <w:highlight w:val="none"/>
              </w:rPr>
            </w:pPr>
          </w:p>
        </w:tc>
        <w:tc>
          <w:tcPr>
            <w:tcW w:w="2391" w:type="dxa"/>
            <w:noWrap/>
            <w:vAlign w:val="center"/>
          </w:tcPr>
          <w:p w14:paraId="25288FA8">
            <w:pPr>
              <w:keepLines w:val="0"/>
              <w:pageBreakBefore w:val="0"/>
              <w:kinsoku/>
              <w:overflowPunct/>
              <w:bidi w:val="0"/>
              <w:spacing w:line="360" w:lineRule="auto"/>
              <w:jc w:val="center"/>
              <w:outlineLvl w:val="5"/>
              <w:rPr>
                <w:rFonts w:hAnsi="宋体" w:cs="宋体"/>
                <w:color w:val="auto"/>
                <w:highlight w:val="none"/>
              </w:rPr>
            </w:pPr>
          </w:p>
        </w:tc>
        <w:tc>
          <w:tcPr>
            <w:tcW w:w="2753" w:type="dxa"/>
            <w:noWrap/>
            <w:vAlign w:val="center"/>
          </w:tcPr>
          <w:p w14:paraId="7A850019">
            <w:pPr>
              <w:keepLines w:val="0"/>
              <w:pageBreakBefore w:val="0"/>
              <w:kinsoku/>
              <w:overflowPunct/>
              <w:bidi w:val="0"/>
              <w:spacing w:line="360" w:lineRule="auto"/>
              <w:jc w:val="center"/>
              <w:outlineLvl w:val="5"/>
              <w:rPr>
                <w:rFonts w:hAnsi="宋体" w:cs="宋体"/>
                <w:color w:val="auto"/>
                <w:highlight w:val="none"/>
              </w:rPr>
            </w:pPr>
          </w:p>
        </w:tc>
        <w:tc>
          <w:tcPr>
            <w:tcW w:w="1794" w:type="dxa"/>
            <w:noWrap/>
            <w:vAlign w:val="center"/>
          </w:tcPr>
          <w:p w14:paraId="59280908">
            <w:pPr>
              <w:keepLines w:val="0"/>
              <w:pageBreakBefore w:val="0"/>
              <w:kinsoku/>
              <w:overflowPunct/>
              <w:bidi w:val="0"/>
              <w:spacing w:line="360" w:lineRule="auto"/>
              <w:jc w:val="center"/>
              <w:outlineLvl w:val="5"/>
              <w:rPr>
                <w:rFonts w:hAnsi="宋体" w:cs="宋体"/>
                <w:color w:val="auto"/>
                <w:highlight w:val="none"/>
              </w:rPr>
            </w:pPr>
          </w:p>
        </w:tc>
        <w:tc>
          <w:tcPr>
            <w:tcW w:w="1705" w:type="dxa"/>
            <w:tcBorders>
              <w:left w:val="single" w:color="auto" w:sz="4" w:space="0"/>
            </w:tcBorders>
            <w:noWrap/>
            <w:vAlign w:val="center"/>
          </w:tcPr>
          <w:p w14:paraId="2094679B">
            <w:pPr>
              <w:keepLines w:val="0"/>
              <w:pageBreakBefore w:val="0"/>
              <w:kinsoku/>
              <w:overflowPunct/>
              <w:bidi w:val="0"/>
              <w:spacing w:line="360" w:lineRule="auto"/>
              <w:jc w:val="center"/>
              <w:outlineLvl w:val="5"/>
              <w:rPr>
                <w:rFonts w:hAnsi="宋体" w:cs="宋体"/>
                <w:color w:val="auto"/>
                <w:highlight w:val="none"/>
              </w:rPr>
            </w:pPr>
          </w:p>
        </w:tc>
      </w:tr>
      <w:tr w14:paraId="2DB35D4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198" w:type="dxa"/>
            <w:noWrap/>
            <w:vAlign w:val="center"/>
          </w:tcPr>
          <w:p w14:paraId="44D0A68B">
            <w:pPr>
              <w:keepLines w:val="0"/>
              <w:pageBreakBefore w:val="0"/>
              <w:kinsoku/>
              <w:overflowPunct/>
              <w:bidi w:val="0"/>
              <w:spacing w:line="360" w:lineRule="auto"/>
              <w:jc w:val="center"/>
              <w:outlineLvl w:val="5"/>
              <w:rPr>
                <w:rFonts w:hAnsi="宋体" w:cs="宋体"/>
                <w:color w:val="auto"/>
                <w:highlight w:val="none"/>
              </w:rPr>
            </w:pPr>
          </w:p>
        </w:tc>
        <w:tc>
          <w:tcPr>
            <w:tcW w:w="2391" w:type="dxa"/>
            <w:tcBorders>
              <w:right w:val="single" w:color="auto" w:sz="4" w:space="0"/>
            </w:tcBorders>
            <w:noWrap/>
            <w:vAlign w:val="center"/>
          </w:tcPr>
          <w:p w14:paraId="1744A119">
            <w:pPr>
              <w:keepLines w:val="0"/>
              <w:pageBreakBefore w:val="0"/>
              <w:kinsoku/>
              <w:overflowPunct/>
              <w:bidi w:val="0"/>
              <w:spacing w:line="360" w:lineRule="auto"/>
              <w:jc w:val="center"/>
              <w:outlineLvl w:val="5"/>
              <w:rPr>
                <w:rFonts w:hAnsi="宋体" w:cs="宋体"/>
                <w:color w:val="auto"/>
                <w:highlight w:val="none"/>
              </w:rPr>
            </w:pPr>
          </w:p>
        </w:tc>
        <w:tc>
          <w:tcPr>
            <w:tcW w:w="2753" w:type="dxa"/>
            <w:tcBorders>
              <w:left w:val="single" w:color="auto" w:sz="4" w:space="0"/>
            </w:tcBorders>
            <w:noWrap/>
            <w:vAlign w:val="center"/>
          </w:tcPr>
          <w:p w14:paraId="5DADEDBB">
            <w:pPr>
              <w:keepLines w:val="0"/>
              <w:pageBreakBefore w:val="0"/>
              <w:kinsoku/>
              <w:overflowPunct/>
              <w:bidi w:val="0"/>
              <w:spacing w:line="360" w:lineRule="auto"/>
              <w:jc w:val="center"/>
              <w:outlineLvl w:val="5"/>
              <w:rPr>
                <w:rFonts w:hAnsi="宋体" w:cs="宋体"/>
                <w:color w:val="auto"/>
                <w:highlight w:val="none"/>
              </w:rPr>
            </w:pPr>
          </w:p>
        </w:tc>
        <w:tc>
          <w:tcPr>
            <w:tcW w:w="1794" w:type="dxa"/>
            <w:noWrap/>
            <w:vAlign w:val="center"/>
          </w:tcPr>
          <w:p w14:paraId="59F8D60E">
            <w:pPr>
              <w:keepLines w:val="0"/>
              <w:pageBreakBefore w:val="0"/>
              <w:kinsoku/>
              <w:overflowPunct/>
              <w:bidi w:val="0"/>
              <w:spacing w:line="360" w:lineRule="auto"/>
              <w:jc w:val="center"/>
              <w:outlineLvl w:val="5"/>
              <w:rPr>
                <w:rFonts w:hAnsi="宋体" w:cs="宋体"/>
                <w:color w:val="auto"/>
                <w:highlight w:val="none"/>
              </w:rPr>
            </w:pPr>
          </w:p>
        </w:tc>
        <w:tc>
          <w:tcPr>
            <w:tcW w:w="1705" w:type="dxa"/>
            <w:tcBorders>
              <w:left w:val="single" w:color="auto" w:sz="4" w:space="0"/>
            </w:tcBorders>
            <w:noWrap/>
            <w:vAlign w:val="center"/>
          </w:tcPr>
          <w:p w14:paraId="19B3D5C3">
            <w:pPr>
              <w:keepLines w:val="0"/>
              <w:pageBreakBefore w:val="0"/>
              <w:kinsoku/>
              <w:overflowPunct/>
              <w:bidi w:val="0"/>
              <w:spacing w:line="360" w:lineRule="auto"/>
              <w:jc w:val="center"/>
              <w:outlineLvl w:val="5"/>
              <w:rPr>
                <w:rFonts w:hAnsi="宋体" w:cs="宋体"/>
                <w:color w:val="auto"/>
                <w:highlight w:val="none"/>
              </w:rPr>
            </w:pPr>
          </w:p>
        </w:tc>
      </w:tr>
      <w:tr w14:paraId="238CD3A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198" w:type="dxa"/>
            <w:tcBorders>
              <w:right w:val="single" w:color="auto" w:sz="4" w:space="0"/>
            </w:tcBorders>
            <w:noWrap/>
            <w:vAlign w:val="center"/>
          </w:tcPr>
          <w:p w14:paraId="57E37F4B">
            <w:pPr>
              <w:keepLines w:val="0"/>
              <w:pageBreakBefore w:val="0"/>
              <w:kinsoku/>
              <w:overflowPunct/>
              <w:bidi w:val="0"/>
              <w:spacing w:line="360" w:lineRule="auto"/>
              <w:outlineLvl w:val="5"/>
              <w:rPr>
                <w:rFonts w:hAnsi="宋体" w:cs="宋体"/>
                <w:color w:val="auto"/>
                <w:highlight w:val="none"/>
              </w:rPr>
            </w:pPr>
          </w:p>
        </w:tc>
        <w:tc>
          <w:tcPr>
            <w:tcW w:w="2391" w:type="dxa"/>
            <w:tcBorders>
              <w:left w:val="single" w:color="auto" w:sz="4" w:space="0"/>
              <w:right w:val="single" w:color="auto" w:sz="4" w:space="0"/>
            </w:tcBorders>
            <w:noWrap/>
            <w:vAlign w:val="center"/>
          </w:tcPr>
          <w:p w14:paraId="2166FE5C">
            <w:pPr>
              <w:keepLines w:val="0"/>
              <w:pageBreakBefore w:val="0"/>
              <w:kinsoku/>
              <w:overflowPunct/>
              <w:bidi w:val="0"/>
              <w:spacing w:line="360" w:lineRule="auto"/>
              <w:outlineLvl w:val="5"/>
              <w:rPr>
                <w:rFonts w:hAnsi="宋体" w:cs="宋体"/>
                <w:color w:val="auto"/>
                <w:highlight w:val="none"/>
              </w:rPr>
            </w:pPr>
          </w:p>
        </w:tc>
        <w:tc>
          <w:tcPr>
            <w:tcW w:w="2753" w:type="dxa"/>
            <w:tcBorders>
              <w:left w:val="single" w:color="auto" w:sz="4" w:space="0"/>
              <w:right w:val="single" w:color="auto" w:sz="4" w:space="0"/>
            </w:tcBorders>
            <w:noWrap/>
            <w:vAlign w:val="center"/>
          </w:tcPr>
          <w:p w14:paraId="51C626DE">
            <w:pPr>
              <w:keepLines w:val="0"/>
              <w:pageBreakBefore w:val="0"/>
              <w:kinsoku/>
              <w:overflowPunct/>
              <w:bidi w:val="0"/>
              <w:spacing w:line="360" w:lineRule="auto"/>
              <w:outlineLvl w:val="5"/>
              <w:rPr>
                <w:rFonts w:hAnsi="宋体" w:cs="宋体"/>
                <w:color w:val="auto"/>
                <w:highlight w:val="none"/>
              </w:rPr>
            </w:pPr>
          </w:p>
        </w:tc>
        <w:tc>
          <w:tcPr>
            <w:tcW w:w="1794" w:type="dxa"/>
            <w:tcBorders>
              <w:left w:val="single" w:color="auto" w:sz="4" w:space="0"/>
              <w:right w:val="single" w:color="auto" w:sz="4" w:space="0"/>
            </w:tcBorders>
            <w:noWrap/>
            <w:vAlign w:val="center"/>
          </w:tcPr>
          <w:p w14:paraId="76D1B166">
            <w:pPr>
              <w:keepLines w:val="0"/>
              <w:pageBreakBefore w:val="0"/>
              <w:kinsoku/>
              <w:overflowPunct/>
              <w:bidi w:val="0"/>
              <w:spacing w:line="360" w:lineRule="auto"/>
              <w:outlineLvl w:val="5"/>
              <w:rPr>
                <w:rFonts w:hAnsi="宋体" w:cs="宋体"/>
                <w:color w:val="auto"/>
                <w:highlight w:val="none"/>
              </w:rPr>
            </w:pPr>
          </w:p>
        </w:tc>
        <w:tc>
          <w:tcPr>
            <w:tcW w:w="1705" w:type="dxa"/>
            <w:tcBorders>
              <w:left w:val="single" w:color="auto" w:sz="4" w:space="0"/>
            </w:tcBorders>
            <w:noWrap/>
            <w:vAlign w:val="center"/>
          </w:tcPr>
          <w:p w14:paraId="6AAAD651">
            <w:pPr>
              <w:keepLines w:val="0"/>
              <w:pageBreakBefore w:val="0"/>
              <w:kinsoku/>
              <w:overflowPunct/>
              <w:bidi w:val="0"/>
              <w:spacing w:line="360" w:lineRule="auto"/>
              <w:outlineLvl w:val="5"/>
              <w:rPr>
                <w:rFonts w:hAnsi="宋体" w:cs="宋体"/>
                <w:color w:val="auto"/>
                <w:highlight w:val="none"/>
              </w:rPr>
            </w:pPr>
          </w:p>
        </w:tc>
      </w:tr>
      <w:tr w14:paraId="065BA64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198" w:type="dxa"/>
            <w:noWrap/>
            <w:vAlign w:val="center"/>
          </w:tcPr>
          <w:p w14:paraId="5BCD694A">
            <w:pPr>
              <w:keepLines w:val="0"/>
              <w:pageBreakBefore w:val="0"/>
              <w:kinsoku/>
              <w:overflowPunct/>
              <w:bidi w:val="0"/>
              <w:spacing w:line="360" w:lineRule="auto"/>
              <w:outlineLvl w:val="5"/>
              <w:rPr>
                <w:rFonts w:hAnsi="宋体" w:cs="宋体"/>
                <w:color w:val="auto"/>
                <w:highlight w:val="none"/>
              </w:rPr>
            </w:pPr>
          </w:p>
        </w:tc>
        <w:tc>
          <w:tcPr>
            <w:tcW w:w="2391" w:type="dxa"/>
            <w:noWrap/>
            <w:vAlign w:val="center"/>
          </w:tcPr>
          <w:p w14:paraId="6C2D7976">
            <w:pPr>
              <w:keepLines w:val="0"/>
              <w:pageBreakBefore w:val="0"/>
              <w:kinsoku/>
              <w:overflowPunct/>
              <w:bidi w:val="0"/>
              <w:spacing w:line="360" w:lineRule="auto"/>
              <w:outlineLvl w:val="5"/>
              <w:rPr>
                <w:rFonts w:hAnsi="宋体" w:cs="宋体"/>
                <w:color w:val="auto"/>
                <w:highlight w:val="none"/>
              </w:rPr>
            </w:pPr>
          </w:p>
        </w:tc>
        <w:tc>
          <w:tcPr>
            <w:tcW w:w="2753" w:type="dxa"/>
            <w:noWrap/>
            <w:vAlign w:val="center"/>
          </w:tcPr>
          <w:p w14:paraId="573F4574">
            <w:pPr>
              <w:keepLines w:val="0"/>
              <w:pageBreakBefore w:val="0"/>
              <w:kinsoku/>
              <w:overflowPunct/>
              <w:bidi w:val="0"/>
              <w:spacing w:line="360" w:lineRule="auto"/>
              <w:outlineLvl w:val="5"/>
              <w:rPr>
                <w:rFonts w:hAnsi="宋体" w:cs="宋体"/>
                <w:color w:val="auto"/>
                <w:highlight w:val="none"/>
              </w:rPr>
            </w:pPr>
          </w:p>
        </w:tc>
        <w:tc>
          <w:tcPr>
            <w:tcW w:w="1794" w:type="dxa"/>
            <w:noWrap/>
            <w:vAlign w:val="center"/>
          </w:tcPr>
          <w:p w14:paraId="4F77A798">
            <w:pPr>
              <w:keepLines w:val="0"/>
              <w:pageBreakBefore w:val="0"/>
              <w:kinsoku/>
              <w:overflowPunct/>
              <w:bidi w:val="0"/>
              <w:spacing w:line="360" w:lineRule="auto"/>
              <w:outlineLvl w:val="5"/>
              <w:rPr>
                <w:rFonts w:hAnsi="宋体" w:cs="宋体"/>
                <w:color w:val="auto"/>
                <w:highlight w:val="none"/>
              </w:rPr>
            </w:pPr>
          </w:p>
        </w:tc>
        <w:tc>
          <w:tcPr>
            <w:tcW w:w="1705" w:type="dxa"/>
            <w:tcBorders>
              <w:left w:val="single" w:color="auto" w:sz="4" w:space="0"/>
            </w:tcBorders>
            <w:noWrap/>
            <w:vAlign w:val="center"/>
          </w:tcPr>
          <w:p w14:paraId="50CC9CEA">
            <w:pPr>
              <w:keepLines w:val="0"/>
              <w:pageBreakBefore w:val="0"/>
              <w:kinsoku/>
              <w:overflowPunct/>
              <w:bidi w:val="0"/>
              <w:spacing w:line="360" w:lineRule="auto"/>
              <w:outlineLvl w:val="5"/>
              <w:rPr>
                <w:rFonts w:hAnsi="宋体" w:cs="宋体"/>
                <w:color w:val="auto"/>
                <w:highlight w:val="none"/>
              </w:rPr>
            </w:pPr>
          </w:p>
        </w:tc>
      </w:tr>
      <w:tr w14:paraId="7625090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198" w:type="dxa"/>
            <w:noWrap/>
            <w:vAlign w:val="center"/>
          </w:tcPr>
          <w:p w14:paraId="4C647E63">
            <w:pPr>
              <w:keepLines w:val="0"/>
              <w:pageBreakBefore w:val="0"/>
              <w:kinsoku/>
              <w:overflowPunct/>
              <w:bidi w:val="0"/>
              <w:spacing w:line="360" w:lineRule="auto"/>
              <w:jc w:val="center"/>
              <w:outlineLvl w:val="5"/>
              <w:rPr>
                <w:rFonts w:hAnsi="宋体" w:cs="宋体"/>
                <w:color w:val="auto"/>
                <w:highlight w:val="none"/>
              </w:rPr>
            </w:pPr>
          </w:p>
        </w:tc>
        <w:tc>
          <w:tcPr>
            <w:tcW w:w="2391" w:type="dxa"/>
            <w:noWrap/>
            <w:vAlign w:val="center"/>
          </w:tcPr>
          <w:p w14:paraId="5F7FAD42">
            <w:pPr>
              <w:keepLines w:val="0"/>
              <w:pageBreakBefore w:val="0"/>
              <w:kinsoku/>
              <w:overflowPunct/>
              <w:bidi w:val="0"/>
              <w:spacing w:line="360" w:lineRule="auto"/>
              <w:jc w:val="center"/>
              <w:outlineLvl w:val="5"/>
              <w:rPr>
                <w:rFonts w:hAnsi="宋体" w:cs="宋体"/>
                <w:color w:val="auto"/>
                <w:highlight w:val="none"/>
              </w:rPr>
            </w:pPr>
          </w:p>
        </w:tc>
        <w:tc>
          <w:tcPr>
            <w:tcW w:w="2753" w:type="dxa"/>
            <w:noWrap/>
            <w:vAlign w:val="center"/>
          </w:tcPr>
          <w:p w14:paraId="1658C6CD">
            <w:pPr>
              <w:keepLines w:val="0"/>
              <w:pageBreakBefore w:val="0"/>
              <w:kinsoku/>
              <w:overflowPunct/>
              <w:bidi w:val="0"/>
              <w:spacing w:line="360" w:lineRule="auto"/>
              <w:jc w:val="center"/>
              <w:outlineLvl w:val="5"/>
              <w:rPr>
                <w:rFonts w:hAnsi="宋体" w:cs="宋体"/>
                <w:color w:val="auto"/>
                <w:highlight w:val="none"/>
              </w:rPr>
            </w:pPr>
          </w:p>
        </w:tc>
        <w:tc>
          <w:tcPr>
            <w:tcW w:w="1794" w:type="dxa"/>
            <w:noWrap/>
            <w:vAlign w:val="center"/>
          </w:tcPr>
          <w:p w14:paraId="391F380A">
            <w:pPr>
              <w:keepLines w:val="0"/>
              <w:pageBreakBefore w:val="0"/>
              <w:kinsoku/>
              <w:overflowPunct/>
              <w:bidi w:val="0"/>
              <w:spacing w:line="360" w:lineRule="auto"/>
              <w:jc w:val="center"/>
              <w:outlineLvl w:val="5"/>
              <w:rPr>
                <w:rFonts w:hAnsi="宋体" w:cs="宋体"/>
                <w:color w:val="auto"/>
                <w:highlight w:val="none"/>
              </w:rPr>
            </w:pPr>
          </w:p>
        </w:tc>
        <w:tc>
          <w:tcPr>
            <w:tcW w:w="1705" w:type="dxa"/>
            <w:tcBorders>
              <w:left w:val="single" w:color="auto" w:sz="4" w:space="0"/>
            </w:tcBorders>
            <w:noWrap/>
            <w:vAlign w:val="center"/>
          </w:tcPr>
          <w:p w14:paraId="6EAC1211">
            <w:pPr>
              <w:keepLines w:val="0"/>
              <w:pageBreakBefore w:val="0"/>
              <w:kinsoku/>
              <w:overflowPunct/>
              <w:bidi w:val="0"/>
              <w:spacing w:line="360" w:lineRule="auto"/>
              <w:jc w:val="center"/>
              <w:outlineLvl w:val="5"/>
              <w:rPr>
                <w:rFonts w:hAnsi="宋体" w:cs="宋体"/>
                <w:color w:val="auto"/>
                <w:highlight w:val="none"/>
              </w:rPr>
            </w:pPr>
          </w:p>
        </w:tc>
      </w:tr>
      <w:tr w14:paraId="53E1C31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1198" w:type="dxa"/>
            <w:noWrap/>
            <w:vAlign w:val="center"/>
          </w:tcPr>
          <w:p w14:paraId="11BB2428">
            <w:pPr>
              <w:keepLines w:val="0"/>
              <w:pageBreakBefore w:val="0"/>
              <w:kinsoku/>
              <w:overflowPunct/>
              <w:bidi w:val="0"/>
              <w:spacing w:line="360" w:lineRule="auto"/>
              <w:jc w:val="center"/>
              <w:outlineLvl w:val="5"/>
              <w:rPr>
                <w:rFonts w:hAnsi="宋体" w:cs="宋体"/>
                <w:color w:val="auto"/>
                <w:highlight w:val="none"/>
              </w:rPr>
            </w:pPr>
          </w:p>
        </w:tc>
        <w:tc>
          <w:tcPr>
            <w:tcW w:w="2391" w:type="dxa"/>
            <w:noWrap/>
            <w:vAlign w:val="center"/>
          </w:tcPr>
          <w:p w14:paraId="38EA28BB">
            <w:pPr>
              <w:keepLines w:val="0"/>
              <w:pageBreakBefore w:val="0"/>
              <w:kinsoku/>
              <w:overflowPunct/>
              <w:bidi w:val="0"/>
              <w:spacing w:line="360" w:lineRule="auto"/>
              <w:jc w:val="center"/>
              <w:outlineLvl w:val="5"/>
              <w:rPr>
                <w:rFonts w:hAnsi="宋体" w:cs="宋体"/>
                <w:color w:val="auto"/>
                <w:highlight w:val="none"/>
              </w:rPr>
            </w:pPr>
          </w:p>
        </w:tc>
        <w:tc>
          <w:tcPr>
            <w:tcW w:w="2753" w:type="dxa"/>
            <w:noWrap/>
            <w:vAlign w:val="center"/>
          </w:tcPr>
          <w:p w14:paraId="227F141E">
            <w:pPr>
              <w:keepLines w:val="0"/>
              <w:pageBreakBefore w:val="0"/>
              <w:kinsoku/>
              <w:overflowPunct/>
              <w:bidi w:val="0"/>
              <w:spacing w:line="360" w:lineRule="auto"/>
              <w:jc w:val="center"/>
              <w:outlineLvl w:val="5"/>
              <w:rPr>
                <w:rFonts w:hAnsi="宋体" w:cs="宋体"/>
                <w:color w:val="auto"/>
                <w:highlight w:val="none"/>
              </w:rPr>
            </w:pPr>
          </w:p>
        </w:tc>
        <w:tc>
          <w:tcPr>
            <w:tcW w:w="1794" w:type="dxa"/>
            <w:noWrap/>
            <w:vAlign w:val="center"/>
          </w:tcPr>
          <w:p w14:paraId="59CBE2CE">
            <w:pPr>
              <w:keepLines w:val="0"/>
              <w:pageBreakBefore w:val="0"/>
              <w:kinsoku/>
              <w:overflowPunct/>
              <w:bidi w:val="0"/>
              <w:spacing w:line="360" w:lineRule="auto"/>
              <w:jc w:val="center"/>
              <w:outlineLvl w:val="5"/>
              <w:rPr>
                <w:rFonts w:hAnsi="宋体" w:cs="宋体"/>
                <w:color w:val="auto"/>
                <w:highlight w:val="none"/>
              </w:rPr>
            </w:pPr>
          </w:p>
        </w:tc>
        <w:tc>
          <w:tcPr>
            <w:tcW w:w="1705" w:type="dxa"/>
            <w:tcBorders>
              <w:left w:val="single" w:color="auto" w:sz="4" w:space="0"/>
            </w:tcBorders>
            <w:noWrap/>
            <w:vAlign w:val="center"/>
          </w:tcPr>
          <w:p w14:paraId="548E519F">
            <w:pPr>
              <w:keepLines w:val="0"/>
              <w:pageBreakBefore w:val="0"/>
              <w:kinsoku/>
              <w:overflowPunct/>
              <w:bidi w:val="0"/>
              <w:spacing w:line="360" w:lineRule="auto"/>
              <w:jc w:val="center"/>
              <w:outlineLvl w:val="5"/>
              <w:rPr>
                <w:rFonts w:hAnsi="宋体" w:cs="宋体"/>
                <w:color w:val="auto"/>
                <w:highlight w:val="none"/>
              </w:rPr>
            </w:pPr>
          </w:p>
        </w:tc>
      </w:tr>
      <w:tr w14:paraId="58C5646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1198" w:type="dxa"/>
            <w:tcBorders>
              <w:bottom w:val="single" w:color="auto" w:sz="4" w:space="0"/>
            </w:tcBorders>
            <w:noWrap/>
            <w:vAlign w:val="center"/>
          </w:tcPr>
          <w:p w14:paraId="54378181">
            <w:pPr>
              <w:keepLines w:val="0"/>
              <w:pageBreakBefore w:val="0"/>
              <w:kinsoku/>
              <w:overflowPunct/>
              <w:bidi w:val="0"/>
              <w:spacing w:line="360" w:lineRule="auto"/>
              <w:jc w:val="center"/>
              <w:outlineLvl w:val="5"/>
              <w:rPr>
                <w:rFonts w:hAnsi="宋体" w:cs="宋体"/>
                <w:color w:val="auto"/>
                <w:highlight w:val="none"/>
              </w:rPr>
            </w:pPr>
          </w:p>
        </w:tc>
        <w:tc>
          <w:tcPr>
            <w:tcW w:w="2391" w:type="dxa"/>
            <w:tcBorders>
              <w:bottom w:val="single" w:color="auto" w:sz="4" w:space="0"/>
            </w:tcBorders>
            <w:noWrap/>
            <w:vAlign w:val="center"/>
          </w:tcPr>
          <w:p w14:paraId="38C69290">
            <w:pPr>
              <w:keepLines w:val="0"/>
              <w:pageBreakBefore w:val="0"/>
              <w:kinsoku/>
              <w:overflowPunct/>
              <w:bidi w:val="0"/>
              <w:spacing w:line="360" w:lineRule="auto"/>
              <w:jc w:val="center"/>
              <w:outlineLvl w:val="5"/>
              <w:rPr>
                <w:rFonts w:hAnsi="宋体" w:cs="宋体"/>
                <w:color w:val="auto"/>
                <w:highlight w:val="none"/>
              </w:rPr>
            </w:pPr>
          </w:p>
        </w:tc>
        <w:tc>
          <w:tcPr>
            <w:tcW w:w="2753" w:type="dxa"/>
            <w:tcBorders>
              <w:bottom w:val="single" w:color="auto" w:sz="4" w:space="0"/>
            </w:tcBorders>
            <w:noWrap/>
            <w:vAlign w:val="center"/>
          </w:tcPr>
          <w:p w14:paraId="71F450A2">
            <w:pPr>
              <w:keepLines w:val="0"/>
              <w:pageBreakBefore w:val="0"/>
              <w:kinsoku/>
              <w:overflowPunct/>
              <w:bidi w:val="0"/>
              <w:spacing w:line="360" w:lineRule="auto"/>
              <w:jc w:val="center"/>
              <w:outlineLvl w:val="5"/>
              <w:rPr>
                <w:rFonts w:hAnsi="宋体" w:cs="宋体"/>
                <w:color w:val="auto"/>
                <w:highlight w:val="none"/>
              </w:rPr>
            </w:pPr>
          </w:p>
        </w:tc>
        <w:tc>
          <w:tcPr>
            <w:tcW w:w="1794" w:type="dxa"/>
            <w:tcBorders>
              <w:bottom w:val="single" w:color="auto" w:sz="4" w:space="0"/>
            </w:tcBorders>
            <w:noWrap/>
            <w:vAlign w:val="center"/>
          </w:tcPr>
          <w:p w14:paraId="09EBC39E">
            <w:pPr>
              <w:keepLines w:val="0"/>
              <w:pageBreakBefore w:val="0"/>
              <w:kinsoku/>
              <w:overflowPunct/>
              <w:bidi w:val="0"/>
              <w:spacing w:line="360" w:lineRule="auto"/>
              <w:jc w:val="center"/>
              <w:outlineLvl w:val="5"/>
              <w:rPr>
                <w:rFonts w:hAnsi="宋体" w:cs="宋体"/>
                <w:color w:val="auto"/>
                <w:highlight w:val="none"/>
              </w:rPr>
            </w:pPr>
          </w:p>
        </w:tc>
        <w:tc>
          <w:tcPr>
            <w:tcW w:w="1705" w:type="dxa"/>
            <w:tcBorders>
              <w:left w:val="single" w:color="auto" w:sz="4" w:space="0"/>
              <w:bottom w:val="single" w:color="auto" w:sz="4" w:space="0"/>
            </w:tcBorders>
            <w:noWrap/>
            <w:vAlign w:val="center"/>
          </w:tcPr>
          <w:p w14:paraId="2C69A107">
            <w:pPr>
              <w:keepLines w:val="0"/>
              <w:pageBreakBefore w:val="0"/>
              <w:kinsoku/>
              <w:overflowPunct/>
              <w:bidi w:val="0"/>
              <w:spacing w:line="360" w:lineRule="auto"/>
              <w:jc w:val="center"/>
              <w:outlineLvl w:val="5"/>
              <w:rPr>
                <w:rFonts w:hAnsi="宋体" w:cs="宋体"/>
                <w:color w:val="auto"/>
                <w:highlight w:val="none"/>
              </w:rPr>
            </w:pPr>
          </w:p>
        </w:tc>
      </w:tr>
      <w:tr w14:paraId="695DF64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1198" w:type="dxa"/>
            <w:tcBorders>
              <w:top w:val="single" w:color="auto" w:sz="4" w:space="0"/>
              <w:bottom w:val="single" w:color="auto" w:sz="4" w:space="0"/>
            </w:tcBorders>
            <w:noWrap/>
            <w:vAlign w:val="center"/>
          </w:tcPr>
          <w:p w14:paraId="3041A66F">
            <w:pPr>
              <w:keepLines w:val="0"/>
              <w:pageBreakBefore w:val="0"/>
              <w:kinsoku/>
              <w:overflowPunct/>
              <w:bidi w:val="0"/>
              <w:spacing w:line="360" w:lineRule="auto"/>
              <w:jc w:val="center"/>
              <w:outlineLvl w:val="5"/>
              <w:rPr>
                <w:rFonts w:hAnsi="宋体" w:cs="宋体"/>
                <w:color w:val="auto"/>
                <w:highlight w:val="none"/>
              </w:rPr>
            </w:pPr>
          </w:p>
        </w:tc>
        <w:tc>
          <w:tcPr>
            <w:tcW w:w="2391" w:type="dxa"/>
            <w:tcBorders>
              <w:top w:val="single" w:color="auto" w:sz="4" w:space="0"/>
              <w:bottom w:val="single" w:color="auto" w:sz="4" w:space="0"/>
            </w:tcBorders>
            <w:noWrap/>
            <w:vAlign w:val="center"/>
          </w:tcPr>
          <w:p w14:paraId="1F176994">
            <w:pPr>
              <w:keepLines w:val="0"/>
              <w:pageBreakBefore w:val="0"/>
              <w:kinsoku/>
              <w:overflowPunct/>
              <w:bidi w:val="0"/>
              <w:spacing w:line="360" w:lineRule="auto"/>
              <w:jc w:val="center"/>
              <w:outlineLvl w:val="5"/>
              <w:rPr>
                <w:rFonts w:hAnsi="宋体" w:cs="宋体"/>
                <w:color w:val="auto"/>
                <w:highlight w:val="none"/>
              </w:rPr>
            </w:pPr>
          </w:p>
        </w:tc>
        <w:tc>
          <w:tcPr>
            <w:tcW w:w="2753" w:type="dxa"/>
            <w:tcBorders>
              <w:top w:val="single" w:color="auto" w:sz="4" w:space="0"/>
              <w:bottom w:val="single" w:color="auto" w:sz="4" w:space="0"/>
            </w:tcBorders>
            <w:noWrap/>
            <w:vAlign w:val="center"/>
          </w:tcPr>
          <w:p w14:paraId="14BDD4EF">
            <w:pPr>
              <w:keepLines w:val="0"/>
              <w:pageBreakBefore w:val="0"/>
              <w:kinsoku/>
              <w:overflowPunct/>
              <w:bidi w:val="0"/>
              <w:spacing w:line="360" w:lineRule="auto"/>
              <w:jc w:val="center"/>
              <w:outlineLvl w:val="5"/>
              <w:rPr>
                <w:rFonts w:hAnsi="宋体" w:cs="宋体"/>
                <w:color w:val="auto"/>
                <w:highlight w:val="none"/>
              </w:rPr>
            </w:pPr>
          </w:p>
        </w:tc>
        <w:tc>
          <w:tcPr>
            <w:tcW w:w="1794" w:type="dxa"/>
            <w:tcBorders>
              <w:top w:val="single" w:color="auto" w:sz="4" w:space="0"/>
              <w:bottom w:val="single" w:color="auto" w:sz="4" w:space="0"/>
            </w:tcBorders>
            <w:noWrap/>
            <w:vAlign w:val="center"/>
          </w:tcPr>
          <w:p w14:paraId="5B58DE18">
            <w:pPr>
              <w:keepLines w:val="0"/>
              <w:pageBreakBefore w:val="0"/>
              <w:kinsoku/>
              <w:overflowPunct/>
              <w:bidi w:val="0"/>
              <w:spacing w:line="360" w:lineRule="auto"/>
              <w:jc w:val="center"/>
              <w:outlineLvl w:val="5"/>
              <w:rPr>
                <w:rFonts w:hAnsi="宋体" w:cs="宋体"/>
                <w:color w:val="auto"/>
                <w:highlight w:val="none"/>
              </w:rPr>
            </w:pPr>
          </w:p>
        </w:tc>
        <w:tc>
          <w:tcPr>
            <w:tcW w:w="1705" w:type="dxa"/>
            <w:tcBorders>
              <w:top w:val="single" w:color="auto" w:sz="4" w:space="0"/>
              <w:left w:val="single" w:color="auto" w:sz="4" w:space="0"/>
              <w:bottom w:val="single" w:color="auto" w:sz="4" w:space="0"/>
            </w:tcBorders>
            <w:noWrap/>
            <w:vAlign w:val="center"/>
          </w:tcPr>
          <w:p w14:paraId="67DAE33F">
            <w:pPr>
              <w:keepLines w:val="0"/>
              <w:pageBreakBefore w:val="0"/>
              <w:kinsoku/>
              <w:overflowPunct/>
              <w:bidi w:val="0"/>
              <w:spacing w:line="360" w:lineRule="auto"/>
              <w:jc w:val="center"/>
              <w:outlineLvl w:val="5"/>
              <w:rPr>
                <w:rFonts w:hAnsi="宋体" w:cs="宋体"/>
                <w:color w:val="auto"/>
                <w:highlight w:val="none"/>
              </w:rPr>
            </w:pPr>
          </w:p>
        </w:tc>
      </w:tr>
      <w:tr w14:paraId="413902A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1198" w:type="dxa"/>
            <w:tcBorders>
              <w:top w:val="single" w:color="auto" w:sz="4" w:space="0"/>
              <w:bottom w:val="single" w:color="auto" w:sz="4" w:space="0"/>
            </w:tcBorders>
            <w:noWrap/>
            <w:vAlign w:val="center"/>
          </w:tcPr>
          <w:p w14:paraId="067D3701">
            <w:pPr>
              <w:keepLines w:val="0"/>
              <w:pageBreakBefore w:val="0"/>
              <w:kinsoku/>
              <w:overflowPunct/>
              <w:bidi w:val="0"/>
              <w:spacing w:line="360" w:lineRule="auto"/>
              <w:jc w:val="center"/>
              <w:outlineLvl w:val="5"/>
              <w:rPr>
                <w:rFonts w:hAnsi="宋体" w:cs="宋体"/>
                <w:color w:val="auto"/>
                <w:highlight w:val="none"/>
              </w:rPr>
            </w:pPr>
          </w:p>
        </w:tc>
        <w:tc>
          <w:tcPr>
            <w:tcW w:w="2391" w:type="dxa"/>
            <w:tcBorders>
              <w:top w:val="single" w:color="auto" w:sz="4" w:space="0"/>
              <w:bottom w:val="single" w:color="auto" w:sz="4" w:space="0"/>
            </w:tcBorders>
            <w:noWrap/>
            <w:vAlign w:val="center"/>
          </w:tcPr>
          <w:p w14:paraId="0BD0A28F">
            <w:pPr>
              <w:keepLines w:val="0"/>
              <w:pageBreakBefore w:val="0"/>
              <w:kinsoku/>
              <w:overflowPunct/>
              <w:bidi w:val="0"/>
              <w:spacing w:line="360" w:lineRule="auto"/>
              <w:jc w:val="center"/>
              <w:outlineLvl w:val="5"/>
              <w:rPr>
                <w:rFonts w:hAnsi="宋体" w:cs="宋体"/>
                <w:color w:val="auto"/>
                <w:highlight w:val="none"/>
              </w:rPr>
            </w:pPr>
          </w:p>
        </w:tc>
        <w:tc>
          <w:tcPr>
            <w:tcW w:w="2753" w:type="dxa"/>
            <w:tcBorders>
              <w:top w:val="single" w:color="auto" w:sz="4" w:space="0"/>
              <w:bottom w:val="single" w:color="auto" w:sz="4" w:space="0"/>
            </w:tcBorders>
            <w:noWrap/>
            <w:vAlign w:val="center"/>
          </w:tcPr>
          <w:p w14:paraId="679DB583">
            <w:pPr>
              <w:keepLines w:val="0"/>
              <w:pageBreakBefore w:val="0"/>
              <w:kinsoku/>
              <w:overflowPunct/>
              <w:bidi w:val="0"/>
              <w:spacing w:line="360" w:lineRule="auto"/>
              <w:jc w:val="center"/>
              <w:outlineLvl w:val="5"/>
              <w:rPr>
                <w:rFonts w:hAnsi="宋体" w:cs="宋体"/>
                <w:color w:val="auto"/>
                <w:highlight w:val="none"/>
              </w:rPr>
            </w:pPr>
          </w:p>
        </w:tc>
        <w:tc>
          <w:tcPr>
            <w:tcW w:w="1794" w:type="dxa"/>
            <w:tcBorders>
              <w:top w:val="single" w:color="auto" w:sz="4" w:space="0"/>
              <w:bottom w:val="single" w:color="auto" w:sz="4" w:space="0"/>
            </w:tcBorders>
            <w:noWrap/>
            <w:vAlign w:val="center"/>
          </w:tcPr>
          <w:p w14:paraId="58556364">
            <w:pPr>
              <w:keepLines w:val="0"/>
              <w:pageBreakBefore w:val="0"/>
              <w:kinsoku/>
              <w:overflowPunct/>
              <w:bidi w:val="0"/>
              <w:spacing w:line="360" w:lineRule="auto"/>
              <w:jc w:val="center"/>
              <w:outlineLvl w:val="5"/>
              <w:rPr>
                <w:rFonts w:hAnsi="宋体" w:cs="宋体"/>
                <w:color w:val="auto"/>
                <w:highlight w:val="none"/>
              </w:rPr>
            </w:pPr>
          </w:p>
        </w:tc>
        <w:tc>
          <w:tcPr>
            <w:tcW w:w="1705" w:type="dxa"/>
            <w:tcBorders>
              <w:top w:val="single" w:color="auto" w:sz="4" w:space="0"/>
              <w:left w:val="single" w:color="auto" w:sz="4" w:space="0"/>
              <w:bottom w:val="single" w:color="auto" w:sz="4" w:space="0"/>
            </w:tcBorders>
            <w:noWrap/>
            <w:vAlign w:val="center"/>
          </w:tcPr>
          <w:p w14:paraId="10ACE041">
            <w:pPr>
              <w:keepLines w:val="0"/>
              <w:pageBreakBefore w:val="0"/>
              <w:kinsoku/>
              <w:overflowPunct/>
              <w:bidi w:val="0"/>
              <w:spacing w:line="360" w:lineRule="auto"/>
              <w:jc w:val="center"/>
              <w:outlineLvl w:val="5"/>
              <w:rPr>
                <w:rFonts w:hAnsi="宋体" w:cs="宋体"/>
                <w:color w:val="auto"/>
                <w:highlight w:val="none"/>
              </w:rPr>
            </w:pPr>
          </w:p>
        </w:tc>
      </w:tr>
      <w:tr w14:paraId="217247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1198" w:type="dxa"/>
            <w:tcBorders>
              <w:top w:val="single" w:color="auto" w:sz="4" w:space="0"/>
              <w:bottom w:val="single" w:color="auto" w:sz="4" w:space="0"/>
            </w:tcBorders>
            <w:noWrap/>
            <w:vAlign w:val="center"/>
          </w:tcPr>
          <w:p w14:paraId="625730FD">
            <w:pPr>
              <w:keepLines w:val="0"/>
              <w:pageBreakBefore w:val="0"/>
              <w:kinsoku/>
              <w:overflowPunct/>
              <w:bidi w:val="0"/>
              <w:spacing w:line="360" w:lineRule="auto"/>
              <w:jc w:val="center"/>
              <w:outlineLvl w:val="5"/>
              <w:rPr>
                <w:rFonts w:hAnsi="宋体" w:cs="宋体"/>
                <w:color w:val="auto"/>
                <w:highlight w:val="none"/>
              </w:rPr>
            </w:pPr>
          </w:p>
        </w:tc>
        <w:tc>
          <w:tcPr>
            <w:tcW w:w="2391" w:type="dxa"/>
            <w:tcBorders>
              <w:top w:val="single" w:color="auto" w:sz="4" w:space="0"/>
              <w:bottom w:val="single" w:color="auto" w:sz="4" w:space="0"/>
            </w:tcBorders>
            <w:noWrap/>
            <w:vAlign w:val="center"/>
          </w:tcPr>
          <w:p w14:paraId="0B34D7FE">
            <w:pPr>
              <w:keepLines w:val="0"/>
              <w:pageBreakBefore w:val="0"/>
              <w:kinsoku/>
              <w:overflowPunct/>
              <w:bidi w:val="0"/>
              <w:spacing w:line="360" w:lineRule="auto"/>
              <w:jc w:val="center"/>
              <w:outlineLvl w:val="5"/>
              <w:rPr>
                <w:rFonts w:hAnsi="宋体" w:cs="宋体"/>
                <w:color w:val="auto"/>
                <w:highlight w:val="none"/>
              </w:rPr>
            </w:pPr>
          </w:p>
        </w:tc>
        <w:tc>
          <w:tcPr>
            <w:tcW w:w="2753" w:type="dxa"/>
            <w:tcBorders>
              <w:top w:val="single" w:color="auto" w:sz="4" w:space="0"/>
              <w:bottom w:val="single" w:color="auto" w:sz="4" w:space="0"/>
            </w:tcBorders>
            <w:noWrap/>
            <w:vAlign w:val="center"/>
          </w:tcPr>
          <w:p w14:paraId="7CA4F312">
            <w:pPr>
              <w:keepLines w:val="0"/>
              <w:pageBreakBefore w:val="0"/>
              <w:kinsoku/>
              <w:overflowPunct/>
              <w:bidi w:val="0"/>
              <w:spacing w:line="360" w:lineRule="auto"/>
              <w:jc w:val="center"/>
              <w:outlineLvl w:val="5"/>
              <w:rPr>
                <w:rFonts w:hAnsi="宋体" w:cs="宋体"/>
                <w:color w:val="auto"/>
                <w:highlight w:val="none"/>
              </w:rPr>
            </w:pPr>
          </w:p>
        </w:tc>
        <w:tc>
          <w:tcPr>
            <w:tcW w:w="1794" w:type="dxa"/>
            <w:tcBorders>
              <w:top w:val="single" w:color="auto" w:sz="4" w:space="0"/>
              <w:bottom w:val="single" w:color="auto" w:sz="4" w:space="0"/>
            </w:tcBorders>
            <w:noWrap/>
            <w:vAlign w:val="center"/>
          </w:tcPr>
          <w:p w14:paraId="6D8B1193">
            <w:pPr>
              <w:keepLines w:val="0"/>
              <w:pageBreakBefore w:val="0"/>
              <w:kinsoku/>
              <w:overflowPunct/>
              <w:bidi w:val="0"/>
              <w:spacing w:line="360" w:lineRule="auto"/>
              <w:jc w:val="center"/>
              <w:outlineLvl w:val="5"/>
              <w:rPr>
                <w:rFonts w:hAnsi="宋体" w:cs="宋体"/>
                <w:color w:val="auto"/>
                <w:highlight w:val="none"/>
              </w:rPr>
            </w:pPr>
          </w:p>
        </w:tc>
        <w:tc>
          <w:tcPr>
            <w:tcW w:w="1705" w:type="dxa"/>
            <w:tcBorders>
              <w:top w:val="single" w:color="auto" w:sz="4" w:space="0"/>
              <w:left w:val="single" w:color="auto" w:sz="4" w:space="0"/>
              <w:bottom w:val="single" w:color="auto" w:sz="4" w:space="0"/>
            </w:tcBorders>
            <w:noWrap/>
            <w:vAlign w:val="center"/>
          </w:tcPr>
          <w:p w14:paraId="4E727331">
            <w:pPr>
              <w:keepLines w:val="0"/>
              <w:pageBreakBefore w:val="0"/>
              <w:kinsoku/>
              <w:overflowPunct/>
              <w:bidi w:val="0"/>
              <w:spacing w:line="360" w:lineRule="auto"/>
              <w:jc w:val="center"/>
              <w:outlineLvl w:val="5"/>
              <w:rPr>
                <w:rFonts w:hAnsi="宋体" w:cs="宋体"/>
                <w:color w:val="auto"/>
                <w:highlight w:val="none"/>
              </w:rPr>
            </w:pPr>
          </w:p>
        </w:tc>
      </w:tr>
      <w:tr w14:paraId="47ABA96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1198" w:type="dxa"/>
            <w:tcBorders>
              <w:top w:val="single" w:color="auto" w:sz="4" w:space="0"/>
              <w:bottom w:val="single" w:color="auto" w:sz="4" w:space="0"/>
            </w:tcBorders>
            <w:noWrap/>
            <w:vAlign w:val="center"/>
          </w:tcPr>
          <w:p w14:paraId="2F2BE4F5">
            <w:pPr>
              <w:keepLines w:val="0"/>
              <w:pageBreakBefore w:val="0"/>
              <w:kinsoku/>
              <w:overflowPunct/>
              <w:bidi w:val="0"/>
              <w:spacing w:line="360" w:lineRule="auto"/>
              <w:jc w:val="center"/>
              <w:outlineLvl w:val="5"/>
              <w:rPr>
                <w:rFonts w:hAnsi="宋体" w:cs="宋体"/>
                <w:color w:val="auto"/>
                <w:highlight w:val="none"/>
              </w:rPr>
            </w:pPr>
          </w:p>
        </w:tc>
        <w:tc>
          <w:tcPr>
            <w:tcW w:w="2391" w:type="dxa"/>
            <w:tcBorders>
              <w:top w:val="single" w:color="auto" w:sz="4" w:space="0"/>
              <w:bottom w:val="single" w:color="auto" w:sz="4" w:space="0"/>
            </w:tcBorders>
            <w:noWrap/>
            <w:vAlign w:val="center"/>
          </w:tcPr>
          <w:p w14:paraId="045397D6">
            <w:pPr>
              <w:keepLines w:val="0"/>
              <w:pageBreakBefore w:val="0"/>
              <w:kinsoku/>
              <w:overflowPunct/>
              <w:bidi w:val="0"/>
              <w:spacing w:line="360" w:lineRule="auto"/>
              <w:jc w:val="center"/>
              <w:outlineLvl w:val="5"/>
              <w:rPr>
                <w:rFonts w:hAnsi="宋体" w:cs="宋体"/>
                <w:color w:val="auto"/>
                <w:highlight w:val="none"/>
              </w:rPr>
            </w:pPr>
          </w:p>
        </w:tc>
        <w:tc>
          <w:tcPr>
            <w:tcW w:w="2753" w:type="dxa"/>
            <w:tcBorders>
              <w:top w:val="single" w:color="auto" w:sz="4" w:space="0"/>
              <w:bottom w:val="single" w:color="auto" w:sz="4" w:space="0"/>
            </w:tcBorders>
            <w:noWrap/>
            <w:vAlign w:val="center"/>
          </w:tcPr>
          <w:p w14:paraId="31CA707D">
            <w:pPr>
              <w:keepLines w:val="0"/>
              <w:pageBreakBefore w:val="0"/>
              <w:kinsoku/>
              <w:overflowPunct/>
              <w:bidi w:val="0"/>
              <w:spacing w:line="360" w:lineRule="auto"/>
              <w:jc w:val="center"/>
              <w:outlineLvl w:val="5"/>
              <w:rPr>
                <w:rFonts w:hAnsi="宋体" w:cs="宋体"/>
                <w:color w:val="auto"/>
                <w:highlight w:val="none"/>
              </w:rPr>
            </w:pPr>
          </w:p>
        </w:tc>
        <w:tc>
          <w:tcPr>
            <w:tcW w:w="1794" w:type="dxa"/>
            <w:tcBorders>
              <w:top w:val="single" w:color="auto" w:sz="4" w:space="0"/>
              <w:bottom w:val="single" w:color="auto" w:sz="4" w:space="0"/>
            </w:tcBorders>
            <w:noWrap/>
            <w:vAlign w:val="center"/>
          </w:tcPr>
          <w:p w14:paraId="25AFA2AC">
            <w:pPr>
              <w:keepLines w:val="0"/>
              <w:pageBreakBefore w:val="0"/>
              <w:kinsoku/>
              <w:overflowPunct/>
              <w:bidi w:val="0"/>
              <w:spacing w:line="360" w:lineRule="auto"/>
              <w:jc w:val="center"/>
              <w:outlineLvl w:val="5"/>
              <w:rPr>
                <w:rFonts w:hAnsi="宋体" w:cs="宋体"/>
                <w:color w:val="auto"/>
                <w:highlight w:val="none"/>
              </w:rPr>
            </w:pPr>
          </w:p>
        </w:tc>
        <w:tc>
          <w:tcPr>
            <w:tcW w:w="1705" w:type="dxa"/>
            <w:tcBorders>
              <w:top w:val="single" w:color="auto" w:sz="4" w:space="0"/>
              <w:left w:val="single" w:color="auto" w:sz="4" w:space="0"/>
              <w:bottom w:val="single" w:color="auto" w:sz="4" w:space="0"/>
            </w:tcBorders>
            <w:noWrap/>
            <w:vAlign w:val="center"/>
          </w:tcPr>
          <w:p w14:paraId="11A53544">
            <w:pPr>
              <w:keepLines w:val="0"/>
              <w:pageBreakBefore w:val="0"/>
              <w:kinsoku/>
              <w:overflowPunct/>
              <w:bidi w:val="0"/>
              <w:spacing w:line="360" w:lineRule="auto"/>
              <w:jc w:val="center"/>
              <w:outlineLvl w:val="5"/>
              <w:rPr>
                <w:rFonts w:hAnsi="宋体" w:cs="宋体"/>
                <w:color w:val="auto"/>
                <w:highlight w:val="none"/>
              </w:rPr>
            </w:pPr>
          </w:p>
        </w:tc>
      </w:tr>
    </w:tbl>
    <w:p w14:paraId="5A66E34B">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cs="宋体"/>
          <w:color w:val="auto"/>
          <w:highlight w:val="none"/>
        </w:rPr>
      </w:pPr>
    </w:p>
    <w:p w14:paraId="42E79369">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cs="宋体"/>
          <w:color w:val="auto"/>
          <w:highlight w:val="none"/>
        </w:rPr>
      </w:pPr>
      <w:r>
        <w:rPr>
          <w:rFonts w:hint="eastAsia" w:ascii="宋体" w:hAnsi="宋体" w:cs="宋体"/>
          <w:color w:val="auto"/>
          <w:highlight w:val="none"/>
        </w:rPr>
        <w:t>注：以上业绩需提供有关书面证明材料，否则将不予认定。</w:t>
      </w:r>
    </w:p>
    <w:p w14:paraId="54D8DAA9">
      <w:pPr>
        <w:keepNext w:val="0"/>
        <w:keepLines w:val="0"/>
        <w:pageBreakBefore w:val="0"/>
        <w:widowControl/>
        <w:kinsoku/>
        <w:wordWrap/>
        <w:overflowPunct/>
        <w:topLinePunct w:val="0"/>
        <w:autoSpaceDE/>
        <w:autoSpaceDN/>
        <w:bidi w:val="0"/>
        <w:adjustRightInd w:val="0"/>
        <w:snapToGrid w:val="0"/>
        <w:spacing w:line="360" w:lineRule="auto"/>
        <w:textAlignment w:val="auto"/>
        <w:rPr>
          <w:rFonts w:hAnsi="宋体" w:cs="宋体"/>
          <w:b/>
          <w:color w:val="auto"/>
          <w:highlight w:val="none"/>
        </w:rPr>
      </w:pPr>
    </w:p>
    <w:p w14:paraId="586E6EC8">
      <w:pPr>
        <w:keepNext w:val="0"/>
        <w:keepLines w:val="0"/>
        <w:pageBreakBefore w:val="0"/>
        <w:widowControl/>
        <w:kinsoku/>
        <w:wordWrap/>
        <w:overflowPunct/>
        <w:topLinePunct w:val="0"/>
        <w:autoSpaceDE/>
        <w:autoSpaceDN/>
        <w:bidi w:val="0"/>
        <w:adjustRightInd w:val="0"/>
        <w:snapToGrid w:val="0"/>
        <w:spacing w:line="360" w:lineRule="auto"/>
        <w:textAlignment w:val="auto"/>
        <w:rPr>
          <w:rFonts w:hAnsi="宋体" w:cs="宋体"/>
          <w:b/>
          <w:color w:val="auto"/>
          <w:highlight w:val="none"/>
        </w:rPr>
      </w:pPr>
    </w:p>
    <w:p w14:paraId="56B8543C">
      <w:pPr>
        <w:keepLines w:val="0"/>
        <w:pageBreakBefore w:val="0"/>
        <w:kinsoku/>
        <w:overflowPunct/>
        <w:bidi w:val="0"/>
        <w:adjustRightInd w:val="0"/>
        <w:spacing w:line="360" w:lineRule="auto"/>
        <w:rPr>
          <w:rFonts w:hint="eastAsia" w:hAnsi="宋体"/>
          <w:color w:val="auto"/>
          <w:highlight w:val="none"/>
        </w:rPr>
      </w:pPr>
      <w:r>
        <w:rPr>
          <w:rFonts w:hint="eastAsia" w:hAnsi="宋体"/>
          <w:color w:val="auto"/>
          <w:highlight w:val="none"/>
        </w:rPr>
        <w:t>投标人名称（盖单位公章）：</w:t>
      </w:r>
    </w:p>
    <w:p w14:paraId="53A80C87">
      <w:pPr>
        <w:keepLines w:val="0"/>
        <w:pageBreakBefore w:val="0"/>
        <w:kinsoku/>
        <w:overflowPunct/>
        <w:bidi w:val="0"/>
        <w:adjustRightInd w:val="0"/>
        <w:spacing w:line="360" w:lineRule="auto"/>
        <w:rPr>
          <w:rFonts w:hint="eastAsia" w:hAnsi="宋体"/>
          <w:color w:val="auto"/>
          <w:highlight w:val="none"/>
        </w:rPr>
      </w:pPr>
      <w:r>
        <w:rPr>
          <w:rFonts w:hint="eastAsia" w:hAnsi="宋体"/>
          <w:color w:val="auto"/>
          <w:highlight w:val="none"/>
        </w:rPr>
        <w:t>法定代表人或授权代表（签字）：</w:t>
      </w:r>
    </w:p>
    <w:p w14:paraId="1CE758AE">
      <w:pPr>
        <w:keepLines w:val="0"/>
        <w:pageBreakBefore w:val="0"/>
        <w:kinsoku/>
        <w:overflowPunct/>
        <w:bidi w:val="0"/>
        <w:adjustRightInd w:val="0"/>
        <w:spacing w:line="360" w:lineRule="auto"/>
        <w:rPr>
          <w:rFonts w:hint="eastAsia" w:hAnsi="宋体"/>
          <w:color w:val="auto"/>
          <w:highlight w:val="none"/>
          <w:lang w:eastAsia="zh-CN"/>
        </w:rPr>
        <w:sectPr>
          <w:headerReference r:id="rId27" w:type="first"/>
          <w:footerReference r:id="rId28" w:type="firs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hAnsi="宋体"/>
          <w:color w:val="auto"/>
          <w:highlight w:val="none"/>
        </w:rPr>
        <w:t>日期</w:t>
      </w:r>
      <w:bookmarkStart w:id="140" w:name="_Toc217446090"/>
      <w:r>
        <w:rPr>
          <w:rFonts w:hint="eastAsia" w:hAnsi="宋体"/>
          <w:color w:val="auto"/>
          <w:highlight w:val="none"/>
          <w:lang w:eastAsia="zh-CN"/>
        </w:rPr>
        <w:t>：</w:t>
      </w:r>
    </w:p>
    <w:bookmarkEnd w:id="140"/>
    <w:p w14:paraId="036937F1">
      <w:pPr>
        <w:pStyle w:val="3"/>
        <w:keepLines w:val="0"/>
        <w:pageBreakBefore w:val="0"/>
        <w:widowControl/>
        <w:kinsoku/>
        <w:wordWrap/>
        <w:overflowPunct/>
        <w:topLinePunct w:val="0"/>
        <w:autoSpaceDE/>
        <w:autoSpaceDN/>
        <w:bidi w:val="0"/>
        <w:spacing w:line="480" w:lineRule="auto"/>
        <w:textAlignment w:val="auto"/>
        <w:rPr>
          <w:rFonts w:hint="eastAsia"/>
          <w:color w:val="auto"/>
          <w:sz w:val="32"/>
          <w:szCs w:val="32"/>
          <w:highlight w:val="none"/>
          <w:lang w:val="en-US" w:eastAsia="zh-CN"/>
        </w:rPr>
      </w:pPr>
      <w:bookmarkStart w:id="141" w:name="_Toc217446091"/>
      <w:bookmarkStart w:id="142" w:name="_Toc217446092"/>
      <w:r>
        <w:rPr>
          <w:rFonts w:hint="eastAsia"/>
          <w:color w:val="auto"/>
          <w:sz w:val="32"/>
          <w:szCs w:val="32"/>
          <w:highlight w:val="none"/>
          <w:lang w:val="en-US" w:eastAsia="zh-CN"/>
        </w:rPr>
        <w:t>十一、投标人本项目管理、技术、服务人员情况表</w:t>
      </w:r>
      <w:bookmarkEnd w:id="141"/>
    </w:p>
    <w:p w14:paraId="1142EF26">
      <w:pPr>
        <w:keepLines w:val="0"/>
        <w:pageBreakBefore w:val="0"/>
        <w:kinsoku/>
        <w:overflowPunct/>
        <w:bidi w:val="0"/>
        <w:spacing w:line="360" w:lineRule="auto"/>
        <w:rPr>
          <w:rFonts w:hAnsi="宋体"/>
          <w:b/>
          <w:color w:val="auto"/>
          <w:highlight w:val="none"/>
          <w:u w:val="single"/>
        </w:rPr>
      </w:pPr>
      <w:r>
        <w:rPr>
          <w:rFonts w:hint="eastAsia" w:hAnsi="宋体"/>
          <w:b/>
          <w:color w:val="auto"/>
          <w:highlight w:val="none"/>
        </w:rPr>
        <w:t xml:space="preserve">项目名称：   招标编号： </w:t>
      </w:r>
    </w:p>
    <w:tbl>
      <w:tblPr>
        <w:tblStyle w:val="4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045"/>
        <w:gridCol w:w="1045"/>
        <w:gridCol w:w="1045"/>
        <w:gridCol w:w="1045"/>
        <w:gridCol w:w="1371"/>
        <w:gridCol w:w="955"/>
        <w:gridCol w:w="1092"/>
        <w:gridCol w:w="951"/>
      </w:tblGrid>
      <w:tr w14:paraId="29E29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jc w:val="center"/>
        </w:trPr>
        <w:tc>
          <w:tcPr>
            <w:tcW w:w="1217" w:type="dxa"/>
            <w:vMerge w:val="restart"/>
            <w:noWrap/>
            <w:vAlign w:val="center"/>
          </w:tcPr>
          <w:p w14:paraId="13E386FC">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类别</w:t>
            </w:r>
          </w:p>
        </w:tc>
        <w:tc>
          <w:tcPr>
            <w:tcW w:w="1045" w:type="dxa"/>
            <w:vMerge w:val="restart"/>
            <w:noWrap/>
            <w:vAlign w:val="center"/>
          </w:tcPr>
          <w:p w14:paraId="43A6D12F">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职务</w:t>
            </w:r>
          </w:p>
        </w:tc>
        <w:tc>
          <w:tcPr>
            <w:tcW w:w="1045" w:type="dxa"/>
            <w:vMerge w:val="restart"/>
            <w:noWrap/>
            <w:vAlign w:val="center"/>
          </w:tcPr>
          <w:p w14:paraId="3FB1040E">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姓名</w:t>
            </w:r>
          </w:p>
        </w:tc>
        <w:tc>
          <w:tcPr>
            <w:tcW w:w="1045" w:type="dxa"/>
            <w:vMerge w:val="restart"/>
            <w:noWrap/>
            <w:vAlign w:val="center"/>
          </w:tcPr>
          <w:p w14:paraId="52412540">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职称</w:t>
            </w:r>
          </w:p>
        </w:tc>
        <w:tc>
          <w:tcPr>
            <w:tcW w:w="1045" w:type="dxa"/>
            <w:vMerge w:val="restart"/>
            <w:noWrap/>
            <w:vAlign w:val="center"/>
          </w:tcPr>
          <w:p w14:paraId="7EDF1155">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常住地</w:t>
            </w:r>
          </w:p>
        </w:tc>
        <w:tc>
          <w:tcPr>
            <w:tcW w:w="4369" w:type="dxa"/>
            <w:gridSpan w:val="4"/>
            <w:noWrap/>
            <w:vAlign w:val="center"/>
          </w:tcPr>
          <w:p w14:paraId="70DCAD47">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资格证明（附复印件）</w:t>
            </w:r>
          </w:p>
        </w:tc>
      </w:tr>
      <w:tr w14:paraId="2D18D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jc w:val="center"/>
        </w:trPr>
        <w:tc>
          <w:tcPr>
            <w:tcW w:w="1217" w:type="dxa"/>
            <w:vMerge w:val="continue"/>
            <w:noWrap/>
            <w:vAlign w:val="center"/>
          </w:tcPr>
          <w:p w14:paraId="1A0A50E3">
            <w:pPr>
              <w:keepLines w:val="0"/>
              <w:pageBreakBefore w:val="0"/>
              <w:kinsoku/>
              <w:overflowPunct/>
              <w:bidi w:val="0"/>
              <w:spacing w:line="360" w:lineRule="auto"/>
              <w:jc w:val="center"/>
              <w:outlineLvl w:val="5"/>
              <w:rPr>
                <w:rFonts w:hAnsi="宋体" w:cs="宋体"/>
                <w:color w:val="auto"/>
                <w:highlight w:val="none"/>
              </w:rPr>
            </w:pPr>
          </w:p>
        </w:tc>
        <w:tc>
          <w:tcPr>
            <w:tcW w:w="1045" w:type="dxa"/>
            <w:vMerge w:val="continue"/>
            <w:noWrap/>
            <w:vAlign w:val="center"/>
          </w:tcPr>
          <w:p w14:paraId="4B6FC796">
            <w:pPr>
              <w:keepLines w:val="0"/>
              <w:pageBreakBefore w:val="0"/>
              <w:kinsoku/>
              <w:overflowPunct/>
              <w:bidi w:val="0"/>
              <w:spacing w:line="360" w:lineRule="auto"/>
              <w:jc w:val="center"/>
              <w:outlineLvl w:val="5"/>
              <w:rPr>
                <w:rFonts w:hAnsi="宋体" w:cs="宋体"/>
                <w:color w:val="auto"/>
                <w:highlight w:val="none"/>
              </w:rPr>
            </w:pPr>
          </w:p>
        </w:tc>
        <w:tc>
          <w:tcPr>
            <w:tcW w:w="1045" w:type="dxa"/>
            <w:vMerge w:val="continue"/>
            <w:noWrap/>
            <w:vAlign w:val="center"/>
          </w:tcPr>
          <w:p w14:paraId="2A3DFD0E">
            <w:pPr>
              <w:keepLines w:val="0"/>
              <w:pageBreakBefore w:val="0"/>
              <w:kinsoku/>
              <w:overflowPunct/>
              <w:bidi w:val="0"/>
              <w:spacing w:line="360" w:lineRule="auto"/>
              <w:jc w:val="center"/>
              <w:outlineLvl w:val="5"/>
              <w:rPr>
                <w:rFonts w:hAnsi="宋体" w:cs="宋体"/>
                <w:color w:val="auto"/>
                <w:highlight w:val="none"/>
              </w:rPr>
            </w:pPr>
          </w:p>
        </w:tc>
        <w:tc>
          <w:tcPr>
            <w:tcW w:w="1045" w:type="dxa"/>
            <w:vMerge w:val="continue"/>
            <w:noWrap/>
            <w:vAlign w:val="center"/>
          </w:tcPr>
          <w:p w14:paraId="581B746D">
            <w:pPr>
              <w:keepLines w:val="0"/>
              <w:pageBreakBefore w:val="0"/>
              <w:kinsoku/>
              <w:overflowPunct/>
              <w:bidi w:val="0"/>
              <w:spacing w:line="360" w:lineRule="auto"/>
              <w:jc w:val="center"/>
              <w:outlineLvl w:val="5"/>
              <w:rPr>
                <w:rFonts w:hAnsi="宋体" w:cs="宋体"/>
                <w:color w:val="auto"/>
                <w:highlight w:val="none"/>
              </w:rPr>
            </w:pPr>
          </w:p>
        </w:tc>
        <w:tc>
          <w:tcPr>
            <w:tcW w:w="1045" w:type="dxa"/>
            <w:vMerge w:val="continue"/>
            <w:noWrap/>
            <w:vAlign w:val="center"/>
          </w:tcPr>
          <w:p w14:paraId="225CE021">
            <w:pPr>
              <w:keepLines w:val="0"/>
              <w:pageBreakBefore w:val="0"/>
              <w:kinsoku/>
              <w:overflowPunct/>
              <w:bidi w:val="0"/>
              <w:spacing w:line="360" w:lineRule="auto"/>
              <w:jc w:val="center"/>
              <w:outlineLvl w:val="5"/>
              <w:rPr>
                <w:rFonts w:hAnsi="宋体" w:cs="宋体"/>
                <w:color w:val="auto"/>
                <w:highlight w:val="none"/>
              </w:rPr>
            </w:pPr>
          </w:p>
        </w:tc>
        <w:tc>
          <w:tcPr>
            <w:tcW w:w="1371" w:type="dxa"/>
            <w:noWrap/>
            <w:vAlign w:val="center"/>
          </w:tcPr>
          <w:p w14:paraId="1FCD0602">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证书名称</w:t>
            </w:r>
          </w:p>
        </w:tc>
        <w:tc>
          <w:tcPr>
            <w:tcW w:w="955" w:type="dxa"/>
            <w:noWrap/>
            <w:vAlign w:val="center"/>
          </w:tcPr>
          <w:p w14:paraId="4266BE4F">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级别</w:t>
            </w:r>
          </w:p>
        </w:tc>
        <w:tc>
          <w:tcPr>
            <w:tcW w:w="1092" w:type="dxa"/>
            <w:noWrap/>
            <w:vAlign w:val="center"/>
          </w:tcPr>
          <w:p w14:paraId="2B4F76A4">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证号</w:t>
            </w:r>
          </w:p>
        </w:tc>
        <w:tc>
          <w:tcPr>
            <w:tcW w:w="951" w:type="dxa"/>
            <w:noWrap/>
            <w:vAlign w:val="center"/>
          </w:tcPr>
          <w:p w14:paraId="5C8D7874">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专业</w:t>
            </w:r>
          </w:p>
        </w:tc>
      </w:tr>
      <w:tr w14:paraId="3BBD4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4" w:hRule="atLeast"/>
          <w:jc w:val="center"/>
        </w:trPr>
        <w:tc>
          <w:tcPr>
            <w:tcW w:w="1217" w:type="dxa"/>
            <w:vMerge w:val="restart"/>
            <w:noWrap/>
            <w:vAlign w:val="center"/>
          </w:tcPr>
          <w:p w14:paraId="38663AD2">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管</w:t>
            </w:r>
          </w:p>
          <w:p w14:paraId="02D430ED">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理</w:t>
            </w:r>
          </w:p>
          <w:p w14:paraId="0DE1FB69">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人</w:t>
            </w:r>
          </w:p>
          <w:p w14:paraId="11446F06">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员</w:t>
            </w:r>
          </w:p>
        </w:tc>
        <w:tc>
          <w:tcPr>
            <w:tcW w:w="1045" w:type="dxa"/>
            <w:noWrap/>
          </w:tcPr>
          <w:p w14:paraId="2A1FC89F">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594B25CF">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7080154A">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4971F9A8">
            <w:pPr>
              <w:keepLines w:val="0"/>
              <w:pageBreakBefore w:val="0"/>
              <w:kinsoku/>
              <w:overflowPunct/>
              <w:bidi w:val="0"/>
              <w:spacing w:line="360" w:lineRule="auto"/>
              <w:jc w:val="center"/>
              <w:outlineLvl w:val="5"/>
              <w:rPr>
                <w:rFonts w:hAnsi="宋体" w:cs="宋体"/>
                <w:color w:val="auto"/>
                <w:highlight w:val="none"/>
              </w:rPr>
            </w:pPr>
          </w:p>
        </w:tc>
        <w:tc>
          <w:tcPr>
            <w:tcW w:w="1371" w:type="dxa"/>
            <w:noWrap/>
          </w:tcPr>
          <w:p w14:paraId="737F918D">
            <w:pPr>
              <w:keepLines w:val="0"/>
              <w:pageBreakBefore w:val="0"/>
              <w:kinsoku/>
              <w:overflowPunct/>
              <w:bidi w:val="0"/>
              <w:spacing w:line="360" w:lineRule="auto"/>
              <w:jc w:val="center"/>
              <w:outlineLvl w:val="5"/>
              <w:rPr>
                <w:rFonts w:hAnsi="宋体" w:cs="宋体"/>
                <w:color w:val="auto"/>
                <w:highlight w:val="none"/>
              </w:rPr>
            </w:pPr>
          </w:p>
        </w:tc>
        <w:tc>
          <w:tcPr>
            <w:tcW w:w="955" w:type="dxa"/>
            <w:noWrap/>
          </w:tcPr>
          <w:p w14:paraId="2B99FD61">
            <w:pPr>
              <w:keepLines w:val="0"/>
              <w:pageBreakBefore w:val="0"/>
              <w:kinsoku/>
              <w:overflowPunct/>
              <w:bidi w:val="0"/>
              <w:spacing w:line="360" w:lineRule="auto"/>
              <w:jc w:val="center"/>
              <w:outlineLvl w:val="5"/>
              <w:rPr>
                <w:rFonts w:hAnsi="宋体" w:cs="宋体"/>
                <w:color w:val="auto"/>
                <w:highlight w:val="none"/>
              </w:rPr>
            </w:pPr>
          </w:p>
        </w:tc>
        <w:tc>
          <w:tcPr>
            <w:tcW w:w="1092" w:type="dxa"/>
            <w:noWrap/>
          </w:tcPr>
          <w:p w14:paraId="1D487734">
            <w:pPr>
              <w:keepLines w:val="0"/>
              <w:pageBreakBefore w:val="0"/>
              <w:kinsoku/>
              <w:overflowPunct/>
              <w:bidi w:val="0"/>
              <w:spacing w:line="360" w:lineRule="auto"/>
              <w:jc w:val="center"/>
              <w:outlineLvl w:val="5"/>
              <w:rPr>
                <w:rFonts w:hAnsi="宋体" w:cs="宋体"/>
                <w:color w:val="auto"/>
                <w:highlight w:val="none"/>
              </w:rPr>
            </w:pPr>
          </w:p>
        </w:tc>
        <w:tc>
          <w:tcPr>
            <w:tcW w:w="951" w:type="dxa"/>
            <w:noWrap/>
          </w:tcPr>
          <w:p w14:paraId="2325FF17">
            <w:pPr>
              <w:keepLines w:val="0"/>
              <w:pageBreakBefore w:val="0"/>
              <w:kinsoku/>
              <w:overflowPunct/>
              <w:bidi w:val="0"/>
              <w:spacing w:line="360" w:lineRule="auto"/>
              <w:jc w:val="center"/>
              <w:outlineLvl w:val="5"/>
              <w:rPr>
                <w:rFonts w:hAnsi="宋体" w:cs="宋体"/>
                <w:color w:val="auto"/>
                <w:highlight w:val="none"/>
              </w:rPr>
            </w:pPr>
          </w:p>
        </w:tc>
      </w:tr>
      <w:tr w14:paraId="43135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jc w:val="center"/>
        </w:trPr>
        <w:tc>
          <w:tcPr>
            <w:tcW w:w="1217" w:type="dxa"/>
            <w:vMerge w:val="continue"/>
            <w:noWrap/>
            <w:vAlign w:val="center"/>
          </w:tcPr>
          <w:p w14:paraId="4F7472A8">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32F05AB9">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4AFBC85D">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75F465E8">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568A27AB">
            <w:pPr>
              <w:keepLines w:val="0"/>
              <w:pageBreakBefore w:val="0"/>
              <w:kinsoku/>
              <w:overflowPunct/>
              <w:bidi w:val="0"/>
              <w:spacing w:line="360" w:lineRule="auto"/>
              <w:jc w:val="center"/>
              <w:outlineLvl w:val="5"/>
              <w:rPr>
                <w:rFonts w:hAnsi="宋体" w:cs="宋体"/>
                <w:color w:val="auto"/>
                <w:highlight w:val="none"/>
              </w:rPr>
            </w:pPr>
          </w:p>
        </w:tc>
        <w:tc>
          <w:tcPr>
            <w:tcW w:w="1371" w:type="dxa"/>
            <w:noWrap/>
          </w:tcPr>
          <w:p w14:paraId="475748E0">
            <w:pPr>
              <w:keepLines w:val="0"/>
              <w:pageBreakBefore w:val="0"/>
              <w:kinsoku/>
              <w:overflowPunct/>
              <w:bidi w:val="0"/>
              <w:spacing w:line="360" w:lineRule="auto"/>
              <w:jc w:val="center"/>
              <w:outlineLvl w:val="5"/>
              <w:rPr>
                <w:rFonts w:hAnsi="宋体" w:cs="宋体"/>
                <w:color w:val="auto"/>
                <w:highlight w:val="none"/>
              </w:rPr>
            </w:pPr>
          </w:p>
        </w:tc>
        <w:tc>
          <w:tcPr>
            <w:tcW w:w="955" w:type="dxa"/>
            <w:noWrap/>
          </w:tcPr>
          <w:p w14:paraId="466451C8">
            <w:pPr>
              <w:keepLines w:val="0"/>
              <w:pageBreakBefore w:val="0"/>
              <w:kinsoku/>
              <w:overflowPunct/>
              <w:bidi w:val="0"/>
              <w:spacing w:line="360" w:lineRule="auto"/>
              <w:jc w:val="center"/>
              <w:outlineLvl w:val="5"/>
              <w:rPr>
                <w:rFonts w:hAnsi="宋体" w:cs="宋体"/>
                <w:color w:val="auto"/>
                <w:highlight w:val="none"/>
              </w:rPr>
            </w:pPr>
          </w:p>
        </w:tc>
        <w:tc>
          <w:tcPr>
            <w:tcW w:w="1092" w:type="dxa"/>
            <w:noWrap/>
          </w:tcPr>
          <w:p w14:paraId="59E5BE28">
            <w:pPr>
              <w:keepLines w:val="0"/>
              <w:pageBreakBefore w:val="0"/>
              <w:kinsoku/>
              <w:overflowPunct/>
              <w:bidi w:val="0"/>
              <w:spacing w:line="360" w:lineRule="auto"/>
              <w:jc w:val="center"/>
              <w:outlineLvl w:val="5"/>
              <w:rPr>
                <w:rFonts w:hAnsi="宋体" w:cs="宋体"/>
                <w:color w:val="auto"/>
                <w:highlight w:val="none"/>
              </w:rPr>
            </w:pPr>
          </w:p>
        </w:tc>
        <w:tc>
          <w:tcPr>
            <w:tcW w:w="951" w:type="dxa"/>
            <w:noWrap/>
          </w:tcPr>
          <w:p w14:paraId="0E295D08">
            <w:pPr>
              <w:keepLines w:val="0"/>
              <w:pageBreakBefore w:val="0"/>
              <w:kinsoku/>
              <w:overflowPunct/>
              <w:bidi w:val="0"/>
              <w:spacing w:line="360" w:lineRule="auto"/>
              <w:jc w:val="center"/>
              <w:outlineLvl w:val="5"/>
              <w:rPr>
                <w:rFonts w:hAnsi="宋体" w:cs="宋体"/>
                <w:color w:val="auto"/>
                <w:highlight w:val="none"/>
              </w:rPr>
            </w:pPr>
          </w:p>
        </w:tc>
      </w:tr>
      <w:tr w14:paraId="565B6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4" w:hRule="atLeast"/>
          <w:jc w:val="center"/>
        </w:trPr>
        <w:tc>
          <w:tcPr>
            <w:tcW w:w="1217" w:type="dxa"/>
            <w:vMerge w:val="continue"/>
            <w:noWrap/>
            <w:vAlign w:val="center"/>
          </w:tcPr>
          <w:p w14:paraId="1096F6EE">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51B15C3D">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432FC48A">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248A8960">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7E3A18E5">
            <w:pPr>
              <w:keepLines w:val="0"/>
              <w:pageBreakBefore w:val="0"/>
              <w:kinsoku/>
              <w:overflowPunct/>
              <w:bidi w:val="0"/>
              <w:spacing w:line="360" w:lineRule="auto"/>
              <w:jc w:val="center"/>
              <w:outlineLvl w:val="5"/>
              <w:rPr>
                <w:rFonts w:hAnsi="宋体" w:cs="宋体"/>
                <w:color w:val="auto"/>
                <w:highlight w:val="none"/>
              </w:rPr>
            </w:pPr>
          </w:p>
        </w:tc>
        <w:tc>
          <w:tcPr>
            <w:tcW w:w="1371" w:type="dxa"/>
            <w:noWrap/>
          </w:tcPr>
          <w:p w14:paraId="21BF11F6">
            <w:pPr>
              <w:keepLines w:val="0"/>
              <w:pageBreakBefore w:val="0"/>
              <w:kinsoku/>
              <w:overflowPunct/>
              <w:bidi w:val="0"/>
              <w:spacing w:line="360" w:lineRule="auto"/>
              <w:jc w:val="center"/>
              <w:outlineLvl w:val="5"/>
              <w:rPr>
                <w:rFonts w:hAnsi="宋体" w:cs="宋体"/>
                <w:color w:val="auto"/>
                <w:highlight w:val="none"/>
              </w:rPr>
            </w:pPr>
          </w:p>
        </w:tc>
        <w:tc>
          <w:tcPr>
            <w:tcW w:w="955" w:type="dxa"/>
            <w:noWrap/>
          </w:tcPr>
          <w:p w14:paraId="2302E7C5">
            <w:pPr>
              <w:keepLines w:val="0"/>
              <w:pageBreakBefore w:val="0"/>
              <w:kinsoku/>
              <w:overflowPunct/>
              <w:bidi w:val="0"/>
              <w:spacing w:line="360" w:lineRule="auto"/>
              <w:jc w:val="center"/>
              <w:outlineLvl w:val="5"/>
              <w:rPr>
                <w:rFonts w:hAnsi="宋体" w:cs="宋体"/>
                <w:color w:val="auto"/>
                <w:highlight w:val="none"/>
              </w:rPr>
            </w:pPr>
          </w:p>
        </w:tc>
        <w:tc>
          <w:tcPr>
            <w:tcW w:w="1092" w:type="dxa"/>
            <w:noWrap/>
          </w:tcPr>
          <w:p w14:paraId="28209FB1">
            <w:pPr>
              <w:keepLines w:val="0"/>
              <w:pageBreakBefore w:val="0"/>
              <w:kinsoku/>
              <w:overflowPunct/>
              <w:bidi w:val="0"/>
              <w:spacing w:line="360" w:lineRule="auto"/>
              <w:jc w:val="center"/>
              <w:outlineLvl w:val="5"/>
              <w:rPr>
                <w:rFonts w:hAnsi="宋体" w:cs="宋体"/>
                <w:color w:val="auto"/>
                <w:highlight w:val="none"/>
              </w:rPr>
            </w:pPr>
          </w:p>
        </w:tc>
        <w:tc>
          <w:tcPr>
            <w:tcW w:w="951" w:type="dxa"/>
            <w:noWrap/>
          </w:tcPr>
          <w:p w14:paraId="06ABF62E">
            <w:pPr>
              <w:keepLines w:val="0"/>
              <w:pageBreakBefore w:val="0"/>
              <w:kinsoku/>
              <w:overflowPunct/>
              <w:bidi w:val="0"/>
              <w:spacing w:line="360" w:lineRule="auto"/>
              <w:jc w:val="center"/>
              <w:outlineLvl w:val="5"/>
              <w:rPr>
                <w:rFonts w:hAnsi="宋体" w:cs="宋体"/>
                <w:color w:val="auto"/>
                <w:highlight w:val="none"/>
              </w:rPr>
            </w:pPr>
          </w:p>
        </w:tc>
      </w:tr>
      <w:tr w14:paraId="223C0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jc w:val="center"/>
        </w:trPr>
        <w:tc>
          <w:tcPr>
            <w:tcW w:w="1217" w:type="dxa"/>
            <w:vMerge w:val="restart"/>
            <w:noWrap/>
            <w:vAlign w:val="center"/>
          </w:tcPr>
          <w:p w14:paraId="08C421DC">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技</w:t>
            </w:r>
          </w:p>
          <w:p w14:paraId="7F0B299B">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术</w:t>
            </w:r>
          </w:p>
          <w:p w14:paraId="11E80F59">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人</w:t>
            </w:r>
          </w:p>
          <w:p w14:paraId="2D3B78EF">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员</w:t>
            </w:r>
          </w:p>
        </w:tc>
        <w:tc>
          <w:tcPr>
            <w:tcW w:w="1045" w:type="dxa"/>
            <w:noWrap/>
          </w:tcPr>
          <w:p w14:paraId="1FC4069C">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5C13133C">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508A07C1">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2B3F517A">
            <w:pPr>
              <w:keepLines w:val="0"/>
              <w:pageBreakBefore w:val="0"/>
              <w:kinsoku/>
              <w:overflowPunct/>
              <w:bidi w:val="0"/>
              <w:spacing w:line="360" w:lineRule="auto"/>
              <w:jc w:val="center"/>
              <w:outlineLvl w:val="5"/>
              <w:rPr>
                <w:rFonts w:hAnsi="宋体" w:cs="宋体"/>
                <w:color w:val="auto"/>
                <w:highlight w:val="none"/>
              </w:rPr>
            </w:pPr>
          </w:p>
        </w:tc>
        <w:tc>
          <w:tcPr>
            <w:tcW w:w="1371" w:type="dxa"/>
            <w:noWrap/>
          </w:tcPr>
          <w:p w14:paraId="371F3B55">
            <w:pPr>
              <w:keepLines w:val="0"/>
              <w:pageBreakBefore w:val="0"/>
              <w:kinsoku/>
              <w:overflowPunct/>
              <w:bidi w:val="0"/>
              <w:spacing w:line="360" w:lineRule="auto"/>
              <w:jc w:val="center"/>
              <w:outlineLvl w:val="5"/>
              <w:rPr>
                <w:rFonts w:hAnsi="宋体" w:cs="宋体"/>
                <w:color w:val="auto"/>
                <w:highlight w:val="none"/>
              </w:rPr>
            </w:pPr>
          </w:p>
        </w:tc>
        <w:tc>
          <w:tcPr>
            <w:tcW w:w="955" w:type="dxa"/>
            <w:noWrap/>
          </w:tcPr>
          <w:p w14:paraId="301D1C30">
            <w:pPr>
              <w:keepLines w:val="0"/>
              <w:pageBreakBefore w:val="0"/>
              <w:kinsoku/>
              <w:overflowPunct/>
              <w:bidi w:val="0"/>
              <w:spacing w:line="360" w:lineRule="auto"/>
              <w:jc w:val="center"/>
              <w:outlineLvl w:val="5"/>
              <w:rPr>
                <w:rFonts w:hAnsi="宋体" w:cs="宋体"/>
                <w:color w:val="auto"/>
                <w:highlight w:val="none"/>
              </w:rPr>
            </w:pPr>
          </w:p>
        </w:tc>
        <w:tc>
          <w:tcPr>
            <w:tcW w:w="1092" w:type="dxa"/>
            <w:noWrap/>
          </w:tcPr>
          <w:p w14:paraId="3CC75E0C">
            <w:pPr>
              <w:keepLines w:val="0"/>
              <w:pageBreakBefore w:val="0"/>
              <w:kinsoku/>
              <w:overflowPunct/>
              <w:bidi w:val="0"/>
              <w:spacing w:line="360" w:lineRule="auto"/>
              <w:jc w:val="center"/>
              <w:outlineLvl w:val="5"/>
              <w:rPr>
                <w:rFonts w:hAnsi="宋体" w:cs="宋体"/>
                <w:color w:val="auto"/>
                <w:highlight w:val="none"/>
              </w:rPr>
            </w:pPr>
          </w:p>
        </w:tc>
        <w:tc>
          <w:tcPr>
            <w:tcW w:w="951" w:type="dxa"/>
            <w:noWrap/>
          </w:tcPr>
          <w:p w14:paraId="08A84C9E">
            <w:pPr>
              <w:keepLines w:val="0"/>
              <w:pageBreakBefore w:val="0"/>
              <w:kinsoku/>
              <w:overflowPunct/>
              <w:bidi w:val="0"/>
              <w:spacing w:line="360" w:lineRule="auto"/>
              <w:jc w:val="center"/>
              <w:outlineLvl w:val="5"/>
              <w:rPr>
                <w:rFonts w:hAnsi="宋体" w:cs="宋体"/>
                <w:color w:val="auto"/>
                <w:highlight w:val="none"/>
              </w:rPr>
            </w:pPr>
          </w:p>
        </w:tc>
      </w:tr>
      <w:tr w14:paraId="15425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4" w:hRule="atLeast"/>
          <w:jc w:val="center"/>
        </w:trPr>
        <w:tc>
          <w:tcPr>
            <w:tcW w:w="1217" w:type="dxa"/>
            <w:vMerge w:val="continue"/>
            <w:noWrap/>
            <w:vAlign w:val="center"/>
          </w:tcPr>
          <w:p w14:paraId="3C2A6068">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74BB4296">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59644192">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1689A930">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75AE0284">
            <w:pPr>
              <w:keepLines w:val="0"/>
              <w:pageBreakBefore w:val="0"/>
              <w:kinsoku/>
              <w:overflowPunct/>
              <w:bidi w:val="0"/>
              <w:spacing w:line="360" w:lineRule="auto"/>
              <w:jc w:val="center"/>
              <w:outlineLvl w:val="5"/>
              <w:rPr>
                <w:rFonts w:hAnsi="宋体" w:cs="宋体"/>
                <w:color w:val="auto"/>
                <w:highlight w:val="none"/>
              </w:rPr>
            </w:pPr>
          </w:p>
        </w:tc>
        <w:tc>
          <w:tcPr>
            <w:tcW w:w="1371" w:type="dxa"/>
            <w:noWrap/>
          </w:tcPr>
          <w:p w14:paraId="5444C6F9">
            <w:pPr>
              <w:keepLines w:val="0"/>
              <w:pageBreakBefore w:val="0"/>
              <w:kinsoku/>
              <w:overflowPunct/>
              <w:bidi w:val="0"/>
              <w:spacing w:line="360" w:lineRule="auto"/>
              <w:jc w:val="center"/>
              <w:outlineLvl w:val="5"/>
              <w:rPr>
                <w:rFonts w:hAnsi="宋体" w:cs="宋体"/>
                <w:color w:val="auto"/>
                <w:highlight w:val="none"/>
              </w:rPr>
            </w:pPr>
          </w:p>
        </w:tc>
        <w:tc>
          <w:tcPr>
            <w:tcW w:w="955" w:type="dxa"/>
            <w:noWrap/>
          </w:tcPr>
          <w:p w14:paraId="40ECC9D9">
            <w:pPr>
              <w:keepLines w:val="0"/>
              <w:pageBreakBefore w:val="0"/>
              <w:kinsoku/>
              <w:overflowPunct/>
              <w:bidi w:val="0"/>
              <w:spacing w:line="360" w:lineRule="auto"/>
              <w:jc w:val="center"/>
              <w:outlineLvl w:val="5"/>
              <w:rPr>
                <w:rFonts w:hAnsi="宋体" w:cs="宋体"/>
                <w:color w:val="auto"/>
                <w:highlight w:val="none"/>
              </w:rPr>
            </w:pPr>
          </w:p>
        </w:tc>
        <w:tc>
          <w:tcPr>
            <w:tcW w:w="1092" w:type="dxa"/>
            <w:noWrap/>
          </w:tcPr>
          <w:p w14:paraId="0597C056">
            <w:pPr>
              <w:keepLines w:val="0"/>
              <w:pageBreakBefore w:val="0"/>
              <w:kinsoku/>
              <w:overflowPunct/>
              <w:bidi w:val="0"/>
              <w:spacing w:line="360" w:lineRule="auto"/>
              <w:jc w:val="center"/>
              <w:outlineLvl w:val="5"/>
              <w:rPr>
                <w:rFonts w:hAnsi="宋体" w:cs="宋体"/>
                <w:color w:val="auto"/>
                <w:highlight w:val="none"/>
              </w:rPr>
            </w:pPr>
          </w:p>
        </w:tc>
        <w:tc>
          <w:tcPr>
            <w:tcW w:w="951" w:type="dxa"/>
            <w:noWrap/>
          </w:tcPr>
          <w:p w14:paraId="1AB0B0CA">
            <w:pPr>
              <w:keepLines w:val="0"/>
              <w:pageBreakBefore w:val="0"/>
              <w:kinsoku/>
              <w:overflowPunct/>
              <w:bidi w:val="0"/>
              <w:spacing w:line="360" w:lineRule="auto"/>
              <w:jc w:val="center"/>
              <w:outlineLvl w:val="5"/>
              <w:rPr>
                <w:rFonts w:hAnsi="宋体" w:cs="宋体"/>
                <w:color w:val="auto"/>
                <w:highlight w:val="none"/>
              </w:rPr>
            </w:pPr>
          </w:p>
        </w:tc>
      </w:tr>
      <w:tr w14:paraId="299BF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jc w:val="center"/>
        </w:trPr>
        <w:tc>
          <w:tcPr>
            <w:tcW w:w="1217" w:type="dxa"/>
            <w:vMerge w:val="continue"/>
            <w:noWrap/>
            <w:vAlign w:val="center"/>
          </w:tcPr>
          <w:p w14:paraId="69B148F1">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1DB285BC">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23CA05FC">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3F1FAF93">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0A7127D8">
            <w:pPr>
              <w:keepLines w:val="0"/>
              <w:pageBreakBefore w:val="0"/>
              <w:kinsoku/>
              <w:overflowPunct/>
              <w:bidi w:val="0"/>
              <w:spacing w:line="360" w:lineRule="auto"/>
              <w:jc w:val="center"/>
              <w:outlineLvl w:val="5"/>
              <w:rPr>
                <w:rFonts w:hAnsi="宋体" w:cs="宋体"/>
                <w:color w:val="auto"/>
                <w:highlight w:val="none"/>
              </w:rPr>
            </w:pPr>
          </w:p>
        </w:tc>
        <w:tc>
          <w:tcPr>
            <w:tcW w:w="1371" w:type="dxa"/>
            <w:noWrap/>
          </w:tcPr>
          <w:p w14:paraId="4BA66D52">
            <w:pPr>
              <w:keepLines w:val="0"/>
              <w:pageBreakBefore w:val="0"/>
              <w:kinsoku/>
              <w:overflowPunct/>
              <w:bidi w:val="0"/>
              <w:spacing w:line="360" w:lineRule="auto"/>
              <w:jc w:val="center"/>
              <w:outlineLvl w:val="5"/>
              <w:rPr>
                <w:rFonts w:hAnsi="宋体" w:cs="宋体"/>
                <w:color w:val="auto"/>
                <w:highlight w:val="none"/>
              </w:rPr>
            </w:pPr>
          </w:p>
        </w:tc>
        <w:tc>
          <w:tcPr>
            <w:tcW w:w="955" w:type="dxa"/>
            <w:noWrap/>
          </w:tcPr>
          <w:p w14:paraId="517D7D6D">
            <w:pPr>
              <w:keepLines w:val="0"/>
              <w:pageBreakBefore w:val="0"/>
              <w:kinsoku/>
              <w:overflowPunct/>
              <w:bidi w:val="0"/>
              <w:spacing w:line="360" w:lineRule="auto"/>
              <w:jc w:val="center"/>
              <w:outlineLvl w:val="5"/>
              <w:rPr>
                <w:rFonts w:hAnsi="宋体" w:cs="宋体"/>
                <w:color w:val="auto"/>
                <w:highlight w:val="none"/>
              </w:rPr>
            </w:pPr>
          </w:p>
        </w:tc>
        <w:tc>
          <w:tcPr>
            <w:tcW w:w="1092" w:type="dxa"/>
            <w:noWrap/>
          </w:tcPr>
          <w:p w14:paraId="4443A86B">
            <w:pPr>
              <w:keepLines w:val="0"/>
              <w:pageBreakBefore w:val="0"/>
              <w:kinsoku/>
              <w:overflowPunct/>
              <w:bidi w:val="0"/>
              <w:spacing w:line="360" w:lineRule="auto"/>
              <w:jc w:val="center"/>
              <w:outlineLvl w:val="5"/>
              <w:rPr>
                <w:rFonts w:hAnsi="宋体" w:cs="宋体"/>
                <w:color w:val="auto"/>
                <w:highlight w:val="none"/>
              </w:rPr>
            </w:pPr>
          </w:p>
        </w:tc>
        <w:tc>
          <w:tcPr>
            <w:tcW w:w="951" w:type="dxa"/>
            <w:noWrap/>
          </w:tcPr>
          <w:p w14:paraId="23B0E1E9">
            <w:pPr>
              <w:keepLines w:val="0"/>
              <w:pageBreakBefore w:val="0"/>
              <w:kinsoku/>
              <w:overflowPunct/>
              <w:bidi w:val="0"/>
              <w:spacing w:line="360" w:lineRule="auto"/>
              <w:jc w:val="center"/>
              <w:outlineLvl w:val="5"/>
              <w:rPr>
                <w:rFonts w:hAnsi="宋体" w:cs="宋体"/>
                <w:color w:val="auto"/>
                <w:highlight w:val="none"/>
              </w:rPr>
            </w:pPr>
          </w:p>
        </w:tc>
      </w:tr>
      <w:tr w14:paraId="1420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4" w:hRule="atLeast"/>
          <w:jc w:val="center"/>
        </w:trPr>
        <w:tc>
          <w:tcPr>
            <w:tcW w:w="1217" w:type="dxa"/>
            <w:vMerge w:val="restart"/>
            <w:noWrap/>
            <w:vAlign w:val="center"/>
          </w:tcPr>
          <w:p w14:paraId="30C19D01">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售后</w:t>
            </w:r>
          </w:p>
          <w:p w14:paraId="747067A5">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服务</w:t>
            </w:r>
          </w:p>
          <w:p w14:paraId="5A9922AC">
            <w:pPr>
              <w:keepLines w:val="0"/>
              <w:pageBreakBefore w:val="0"/>
              <w:kinsoku/>
              <w:overflowPunct/>
              <w:bidi w:val="0"/>
              <w:spacing w:line="360" w:lineRule="auto"/>
              <w:jc w:val="center"/>
              <w:outlineLvl w:val="5"/>
              <w:rPr>
                <w:rFonts w:hAnsi="宋体" w:cs="宋体"/>
                <w:color w:val="auto"/>
                <w:highlight w:val="none"/>
              </w:rPr>
            </w:pPr>
            <w:r>
              <w:rPr>
                <w:rFonts w:hint="eastAsia" w:hAnsi="宋体" w:cs="宋体"/>
                <w:color w:val="auto"/>
                <w:highlight w:val="none"/>
              </w:rPr>
              <w:t>人员</w:t>
            </w:r>
          </w:p>
        </w:tc>
        <w:tc>
          <w:tcPr>
            <w:tcW w:w="1045" w:type="dxa"/>
            <w:noWrap/>
          </w:tcPr>
          <w:p w14:paraId="5640659C">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3C9448D9">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007745FD">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557F0D65">
            <w:pPr>
              <w:keepLines w:val="0"/>
              <w:pageBreakBefore w:val="0"/>
              <w:kinsoku/>
              <w:overflowPunct/>
              <w:bidi w:val="0"/>
              <w:spacing w:line="360" w:lineRule="auto"/>
              <w:jc w:val="center"/>
              <w:outlineLvl w:val="5"/>
              <w:rPr>
                <w:rFonts w:hAnsi="宋体" w:cs="宋体"/>
                <w:color w:val="auto"/>
                <w:highlight w:val="none"/>
              </w:rPr>
            </w:pPr>
          </w:p>
        </w:tc>
        <w:tc>
          <w:tcPr>
            <w:tcW w:w="1371" w:type="dxa"/>
            <w:noWrap/>
          </w:tcPr>
          <w:p w14:paraId="216AB1E7">
            <w:pPr>
              <w:keepLines w:val="0"/>
              <w:pageBreakBefore w:val="0"/>
              <w:kinsoku/>
              <w:overflowPunct/>
              <w:bidi w:val="0"/>
              <w:spacing w:line="360" w:lineRule="auto"/>
              <w:jc w:val="center"/>
              <w:outlineLvl w:val="5"/>
              <w:rPr>
                <w:rFonts w:hAnsi="宋体" w:cs="宋体"/>
                <w:color w:val="auto"/>
                <w:highlight w:val="none"/>
              </w:rPr>
            </w:pPr>
          </w:p>
        </w:tc>
        <w:tc>
          <w:tcPr>
            <w:tcW w:w="955" w:type="dxa"/>
            <w:noWrap/>
          </w:tcPr>
          <w:p w14:paraId="1990DB5F">
            <w:pPr>
              <w:keepLines w:val="0"/>
              <w:pageBreakBefore w:val="0"/>
              <w:kinsoku/>
              <w:overflowPunct/>
              <w:bidi w:val="0"/>
              <w:spacing w:line="360" w:lineRule="auto"/>
              <w:jc w:val="center"/>
              <w:outlineLvl w:val="5"/>
              <w:rPr>
                <w:rFonts w:hAnsi="宋体" w:cs="宋体"/>
                <w:color w:val="auto"/>
                <w:highlight w:val="none"/>
              </w:rPr>
            </w:pPr>
          </w:p>
        </w:tc>
        <w:tc>
          <w:tcPr>
            <w:tcW w:w="1092" w:type="dxa"/>
            <w:noWrap/>
          </w:tcPr>
          <w:p w14:paraId="1AAF4C1E">
            <w:pPr>
              <w:keepLines w:val="0"/>
              <w:pageBreakBefore w:val="0"/>
              <w:kinsoku/>
              <w:overflowPunct/>
              <w:bidi w:val="0"/>
              <w:spacing w:line="360" w:lineRule="auto"/>
              <w:jc w:val="center"/>
              <w:outlineLvl w:val="5"/>
              <w:rPr>
                <w:rFonts w:hAnsi="宋体" w:cs="宋体"/>
                <w:color w:val="auto"/>
                <w:highlight w:val="none"/>
              </w:rPr>
            </w:pPr>
          </w:p>
        </w:tc>
        <w:tc>
          <w:tcPr>
            <w:tcW w:w="951" w:type="dxa"/>
            <w:noWrap/>
          </w:tcPr>
          <w:p w14:paraId="0F8823F6">
            <w:pPr>
              <w:keepLines w:val="0"/>
              <w:pageBreakBefore w:val="0"/>
              <w:kinsoku/>
              <w:overflowPunct/>
              <w:bidi w:val="0"/>
              <w:spacing w:line="360" w:lineRule="auto"/>
              <w:jc w:val="center"/>
              <w:outlineLvl w:val="5"/>
              <w:rPr>
                <w:rFonts w:hAnsi="宋体" w:cs="宋体"/>
                <w:color w:val="auto"/>
                <w:highlight w:val="none"/>
              </w:rPr>
            </w:pPr>
          </w:p>
        </w:tc>
      </w:tr>
      <w:tr w14:paraId="51B33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2" w:hRule="atLeast"/>
          <w:jc w:val="center"/>
        </w:trPr>
        <w:tc>
          <w:tcPr>
            <w:tcW w:w="1217" w:type="dxa"/>
            <w:vMerge w:val="continue"/>
            <w:noWrap/>
            <w:vAlign w:val="center"/>
          </w:tcPr>
          <w:p w14:paraId="7EBD4BF7">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1EBCA17A">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2831A6F7">
            <w:pPr>
              <w:keepLines w:val="0"/>
              <w:pageBreakBefore w:val="0"/>
              <w:kinsoku/>
              <w:overflowPunct/>
              <w:bidi w:val="0"/>
              <w:spacing w:line="360" w:lineRule="auto"/>
              <w:jc w:val="center"/>
              <w:outlineLvl w:val="5"/>
              <w:rPr>
                <w:rFonts w:hAnsi="宋体" w:cs="宋体"/>
                <w:bCs/>
                <w:color w:val="auto"/>
                <w:highlight w:val="none"/>
              </w:rPr>
            </w:pPr>
          </w:p>
        </w:tc>
        <w:tc>
          <w:tcPr>
            <w:tcW w:w="1045" w:type="dxa"/>
            <w:noWrap/>
          </w:tcPr>
          <w:p w14:paraId="0475891D">
            <w:pPr>
              <w:keepLines w:val="0"/>
              <w:pageBreakBefore w:val="0"/>
              <w:kinsoku/>
              <w:overflowPunct/>
              <w:bidi w:val="0"/>
              <w:spacing w:line="360" w:lineRule="auto"/>
              <w:jc w:val="center"/>
              <w:outlineLvl w:val="5"/>
              <w:rPr>
                <w:rFonts w:hAnsi="宋体" w:cs="宋体"/>
                <w:bCs/>
                <w:color w:val="auto"/>
                <w:highlight w:val="none"/>
              </w:rPr>
            </w:pPr>
          </w:p>
        </w:tc>
        <w:tc>
          <w:tcPr>
            <w:tcW w:w="1045" w:type="dxa"/>
            <w:noWrap/>
          </w:tcPr>
          <w:p w14:paraId="50C3D6FA">
            <w:pPr>
              <w:keepLines w:val="0"/>
              <w:pageBreakBefore w:val="0"/>
              <w:kinsoku/>
              <w:overflowPunct/>
              <w:bidi w:val="0"/>
              <w:spacing w:line="360" w:lineRule="auto"/>
              <w:jc w:val="center"/>
              <w:outlineLvl w:val="5"/>
              <w:rPr>
                <w:rFonts w:hAnsi="宋体" w:cs="宋体"/>
                <w:bCs/>
                <w:color w:val="auto"/>
                <w:highlight w:val="none"/>
              </w:rPr>
            </w:pPr>
          </w:p>
        </w:tc>
        <w:tc>
          <w:tcPr>
            <w:tcW w:w="1371" w:type="dxa"/>
            <w:noWrap/>
          </w:tcPr>
          <w:p w14:paraId="5B4EDAB1">
            <w:pPr>
              <w:keepLines w:val="0"/>
              <w:pageBreakBefore w:val="0"/>
              <w:kinsoku/>
              <w:overflowPunct/>
              <w:bidi w:val="0"/>
              <w:spacing w:line="360" w:lineRule="auto"/>
              <w:jc w:val="center"/>
              <w:outlineLvl w:val="5"/>
              <w:rPr>
                <w:rFonts w:hAnsi="宋体" w:cs="宋体"/>
                <w:bCs/>
                <w:color w:val="auto"/>
                <w:highlight w:val="none"/>
              </w:rPr>
            </w:pPr>
          </w:p>
        </w:tc>
        <w:tc>
          <w:tcPr>
            <w:tcW w:w="955" w:type="dxa"/>
            <w:noWrap/>
          </w:tcPr>
          <w:p w14:paraId="65F7E83D">
            <w:pPr>
              <w:keepLines w:val="0"/>
              <w:pageBreakBefore w:val="0"/>
              <w:kinsoku/>
              <w:overflowPunct/>
              <w:bidi w:val="0"/>
              <w:spacing w:line="360" w:lineRule="auto"/>
              <w:jc w:val="center"/>
              <w:outlineLvl w:val="5"/>
              <w:rPr>
                <w:rFonts w:hAnsi="宋体" w:cs="宋体"/>
                <w:bCs/>
                <w:color w:val="auto"/>
                <w:highlight w:val="none"/>
              </w:rPr>
            </w:pPr>
          </w:p>
        </w:tc>
        <w:tc>
          <w:tcPr>
            <w:tcW w:w="1092" w:type="dxa"/>
            <w:noWrap/>
          </w:tcPr>
          <w:p w14:paraId="26D1C08D">
            <w:pPr>
              <w:keepLines w:val="0"/>
              <w:pageBreakBefore w:val="0"/>
              <w:kinsoku/>
              <w:overflowPunct/>
              <w:bidi w:val="0"/>
              <w:spacing w:line="360" w:lineRule="auto"/>
              <w:jc w:val="center"/>
              <w:outlineLvl w:val="5"/>
              <w:rPr>
                <w:rFonts w:hAnsi="宋体" w:cs="宋体"/>
                <w:bCs/>
                <w:color w:val="auto"/>
                <w:highlight w:val="none"/>
              </w:rPr>
            </w:pPr>
          </w:p>
        </w:tc>
        <w:tc>
          <w:tcPr>
            <w:tcW w:w="951" w:type="dxa"/>
            <w:noWrap/>
          </w:tcPr>
          <w:p w14:paraId="0429551F">
            <w:pPr>
              <w:keepLines w:val="0"/>
              <w:pageBreakBefore w:val="0"/>
              <w:kinsoku/>
              <w:overflowPunct/>
              <w:bidi w:val="0"/>
              <w:spacing w:line="360" w:lineRule="auto"/>
              <w:jc w:val="center"/>
              <w:outlineLvl w:val="5"/>
              <w:rPr>
                <w:rFonts w:hAnsi="宋体" w:cs="宋体"/>
                <w:bCs/>
                <w:color w:val="auto"/>
                <w:highlight w:val="none"/>
              </w:rPr>
            </w:pPr>
          </w:p>
        </w:tc>
      </w:tr>
      <w:tr w14:paraId="3CBB3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4" w:hRule="atLeast"/>
          <w:jc w:val="center"/>
        </w:trPr>
        <w:tc>
          <w:tcPr>
            <w:tcW w:w="1217" w:type="dxa"/>
            <w:vMerge w:val="continue"/>
            <w:noWrap/>
            <w:vAlign w:val="center"/>
          </w:tcPr>
          <w:p w14:paraId="11EA5C2B">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2592400E">
            <w:pPr>
              <w:keepLines w:val="0"/>
              <w:pageBreakBefore w:val="0"/>
              <w:kinsoku/>
              <w:overflowPunct/>
              <w:bidi w:val="0"/>
              <w:spacing w:line="360" w:lineRule="auto"/>
              <w:jc w:val="center"/>
              <w:outlineLvl w:val="5"/>
              <w:rPr>
                <w:rFonts w:hAnsi="宋体" w:cs="宋体"/>
                <w:color w:val="auto"/>
                <w:highlight w:val="none"/>
              </w:rPr>
            </w:pPr>
          </w:p>
        </w:tc>
        <w:tc>
          <w:tcPr>
            <w:tcW w:w="1045" w:type="dxa"/>
            <w:noWrap/>
          </w:tcPr>
          <w:p w14:paraId="520AE0B1">
            <w:pPr>
              <w:keepLines w:val="0"/>
              <w:pageBreakBefore w:val="0"/>
              <w:kinsoku/>
              <w:overflowPunct/>
              <w:bidi w:val="0"/>
              <w:spacing w:line="360" w:lineRule="auto"/>
              <w:jc w:val="center"/>
              <w:outlineLvl w:val="5"/>
              <w:rPr>
                <w:rFonts w:hAnsi="宋体" w:cs="宋体"/>
                <w:bCs/>
                <w:color w:val="auto"/>
                <w:highlight w:val="none"/>
              </w:rPr>
            </w:pPr>
          </w:p>
        </w:tc>
        <w:tc>
          <w:tcPr>
            <w:tcW w:w="1045" w:type="dxa"/>
            <w:noWrap/>
          </w:tcPr>
          <w:p w14:paraId="57655097">
            <w:pPr>
              <w:keepLines w:val="0"/>
              <w:pageBreakBefore w:val="0"/>
              <w:kinsoku/>
              <w:overflowPunct/>
              <w:bidi w:val="0"/>
              <w:spacing w:line="360" w:lineRule="auto"/>
              <w:jc w:val="center"/>
              <w:outlineLvl w:val="5"/>
              <w:rPr>
                <w:rFonts w:hAnsi="宋体" w:cs="宋体"/>
                <w:bCs/>
                <w:color w:val="auto"/>
                <w:highlight w:val="none"/>
              </w:rPr>
            </w:pPr>
          </w:p>
        </w:tc>
        <w:tc>
          <w:tcPr>
            <w:tcW w:w="1045" w:type="dxa"/>
            <w:noWrap/>
          </w:tcPr>
          <w:p w14:paraId="44F69D12">
            <w:pPr>
              <w:keepLines w:val="0"/>
              <w:pageBreakBefore w:val="0"/>
              <w:kinsoku/>
              <w:overflowPunct/>
              <w:bidi w:val="0"/>
              <w:spacing w:line="360" w:lineRule="auto"/>
              <w:jc w:val="center"/>
              <w:outlineLvl w:val="5"/>
              <w:rPr>
                <w:rFonts w:hAnsi="宋体" w:cs="宋体"/>
                <w:bCs/>
                <w:color w:val="auto"/>
                <w:highlight w:val="none"/>
              </w:rPr>
            </w:pPr>
          </w:p>
        </w:tc>
        <w:tc>
          <w:tcPr>
            <w:tcW w:w="1371" w:type="dxa"/>
            <w:noWrap/>
          </w:tcPr>
          <w:p w14:paraId="07B3AB4D">
            <w:pPr>
              <w:keepLines w:val="0"/>
              <w:pageBreakBefore w:val="0"/>
              <w:kinsoku/>
              <w:overflowPunct/>
              <w:bidi w:val="0"/>
              <w:spacing w:line="360" w:lineRule="auto"/>
              <w:jc w:val="center"/>
              <w:outlineLvl w:val="5"/>
              <w:rPr>
                <w:rFonts w:hAnsi="宋体" w:cs="宋体"/>
                <w:bCs/>
                <w:color w:val="auto"/>
                <w:highlight w:val="none"/>
              </w:rPr>
            </w:pPr>
          </w:p>
        </w:tc>
        <w:tc>
          <w:tcPr>
            <w:tcW w:w="955" w:type="dxa"/>
            <w:noWrap/>
          </w:tcPr>
          <w:p w14:paraId="54865F92">
            <w:pPr>
              <w:keepLines w:val="0"/>
              <w:pageBreakBefore w:val="0"/>
              <w:kinsoku/>
              <w:overflowPunct/>
              <w:bidi w:val="0"/>
              <w:spacing w:line="360" w:lineRule="auto"/>
              <w:jc w:val="center"/>
              <w:outlineLvl w:val="5"/>
              <w:rPr>
                <w:rFonts w:hAnsi="宋体" w:cs="宋体"/>
                <w:bCs/>
                <w:color w:val="auto"/>
                <w:highlight w:val="none"/>
              </w:rPr>
            </w:pPr>
          </w:p>
        </w:tc>
        <w:tc>
          <w:tcPr>
            <w:tcW w:w="1092" w:type="dxa"/>
            <w:noWrap/>
          </w:tcPr>
          <w:p w14:paraId="368D689A">
            <w:pPr>
              <w:keepLines w:val="0"/>
              <w:pageBreakBefore w:val="0"/>
              <w:kinsoku/>
              <w:overflowPunct/>
              <w:bidi w:val="0"/>
              <w:spacing w:line="360" w:lineRule="auto"/>
              <w:jc w:val="center"/>
              <w:outlineLvl w:val="5"/>
              <w:rPr>
                <w:rFonts w:hAnsi="宋体" w:cs="宋体"/>
                <w:bCs/>
                <w:color w:val="auto"/>
                <w:highlight w:val="none"/>
              </w:rPr>
            </w:pPr>
          </w:p>
        </w:tc>
        <w:tc>
          <w:tcPr>
            <w:tcW w:w="951" w:type="dxa"/>
            <w:noWrap/>
          </w:tcPr>
          <w:p w14:paraId="5D048E95">
            <w:pPr>
              <w:keepLines w:val="0"/>
              <w:pageBreakBefore w:val="0"/>
              <w:kinsoku/>
              <w:overflowPunct/>
              <w:bidi w:val="0"/>
              <w:spacing w:line="360" w:lineRule="auto"/>
              <w:jc w:val="center"/>
              <w:outlineLvl w:val="5"/>
              <w:rPr>
                <w:rFonts w:hAnsi="宋体" w:cs="宋体"/>
                <w:bCs/>
                <w:color w:val="auto"/>
                <w:highlight w:val="none"/>
              </w:rPr>
            </w:pPr>
          </w:p>
        </w:tc>
      </w:tr>
    </w:tbl>
    <w:p w14:paraId="2B86ED36">
      <w:pPr>
        <w:keepNext w:val="0"/>
        <w:keepLines w:val="0"/>
        <w:pageBreakBefore w:val="0"/>
        <w:widowControl/>
        <w:kinsoku/>
        <w:wordWrap/>
        <w:overflowPunct/>
        <w:topLinePunct w:val="0"/>
        <w:autoSpaceDE/>
        <w:autoSpaceDN/>
        <w:bidi w:val="0"/>
        <w:adjustRightInd w:val="0"/>
        <w:snapToGrid w:val="0"/>
        <w:spacing w:line="360" w:lineRule="auto"/>
        <w:textAlignment w:val="auto"/>
        <w:rPr>
          <w:rFonts w:hAnsi="宋体" w:cs="宋体"/>
          <w:b/>
          <w:color w:val="auto"/>
          <w:highlight w:val="none"/>
        </w:rPr>
      </w:pPr>
    </w:p>
    <w:p w14:paraId="196B86E3">
      <w:pPr>
        <w:keepNext w:val="0"/>
        <w:keepLines w:val="0"/>
        <w:pageBreakBefore w:val="0"/>
        <w:widowControl/>
        <w:kinsoku/>
        <w:wordWrap/>
        <w:overflowPunct/>
        <w:topLinePunct w:val="0"/>
        <w:autoSpaceDE/>
        <w:autoSpaceDN/>
        <w:bidi w:val="0"/>
        <w:adjustRightInd w:val="0"/>
        <w:snapToGrid w:val="0"/>
        <w:spacing w:line="360" w:lineRule="auto"/>
        <w:textAlignment w:val="auto"/>
        <w:rPr>
          <w:rFonts w:hAnsi="宋体" w:cs="宋体"/>
          <w:b/>
          <w:color w:val="auto"/>
          <w:highlight w:val="none"/>
        </w:rPr>
      </w:pPr>
    </w:p>
    <w:p w14:paraId="00A7C1CB">
      <w:pPr>
        <w:keepLines w:val="0"/>
        <w:pageBreakBefore w:val="0"/>
        <w:kinsoku/>
        <w:overflowPunct/>
        <w:bidi w:val="0"/>
        <w:adjustRightInd w:val="0"/>
        <w:spacing w:line="360" w:lineRule="auto"/>
        <w:rPr>
          <w:rFonts w:hint="eastAsia" w:hAnsi="宋体"/>
          <w:color w:val="auto"/>
          <w:highlight w:val="none"/>
        </w:rPr>
      </w:pPr>
      <w:r>
        <w:rPr>
          <w:rFonts w:hint="eastAsia" w:hAnsi="宋体"/>
          <w:color w:val="auto"/>
          <w:highlight w:val="none"/>
        </w:rPr>
        <w:t>投标人名称（盖单位公章）：</w:t>
      </w:r>
    </w:p>
    <w:p w14:paraId="05E379BC">
      <w:pPr>
        <w:keepLines w:val="0"/>
        <w:pageBreakBefore w:val="0"/>
        <w:kinsoku/>
        <w:overflowPunct/>
        <w:bidi w:val="0"/>
        <w:adjustRightInd w:val="0"/>
        <w:spacing w:line="360" w:lineRule="auto"/>
        <w:rPr>
          <w:rFonts w:hint="eastAsia" w:hAnsi="宋体"/>
          <w:color w:val="auto"/>
          <w:highlight w:val="none"/>
        </w:rPr>
      </w:pPr>
      <w:r>
        <w:rPr>
          <w:rFonts w:hint="eastAsia" w:hAnsi="宋体"/>
          <w:color w:val="auto"/>
          <w:highlight w:val="none"/>
        </w:rPr>
        <w:t>法定代表人或授权代表（签字）：</w:t>
      </w:r>
    </w:p>
    <w:p w14:paraId="3730FD29">
      <w:pPr>
        <w:keepLines w:val="0"/>
        <w:pageBreakBefore w:val="0"/>
        <w:kinsoku/>
        <w:overflowPunct/>
        <w:bidi w:val="0"/>
        <w:adjustRightInd w:val="0"/>
        <w:spacing w:line="360" w:lineRule="auto"/>
        <w:rPr>
          <w:rFonts w:hint="eastAsia" w:hAnsi="宋体"/>
          <w:color w:val="auto"/>
          <w:highlight w:val="none"/>
        </w:rPr>
        <w:sectPr>
          <w:headerReference r:id="rId29" w:type="first"/>
          <w:footerReference r:id="rId30" w:type="firs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hAnsi="宋体"/>
          <w:color w:val="auto"/>
          <w:highlight w:val="none"/>
        </w:rPr>
        <w:t>日期：</w:t>
      </w:r>
    </w:p>
    <w:p w14:paraId="5278D7C2">
      <w:pPr>
        <w:pStyle w:val="3"/>
        <w:spacing w:line="480" w:lineRule="auto"/>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32"/>
          <w:highlight w:val="none"/>
        </w:rPr>
        <w:t>十二、中小企业声明函</w:t>
      </w:r>
    </w:p>
    <w:p w14:paraId="3D325D16">
      <w:pPr>
        <w:adjustRightInd w:val="0"/>
        <w:snapToGrid w:val="0"/>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本公司郑重声明，根据《政府采购促进中小企业发展管理办法》（财库﹝2020﹞46号）的规定，本公司参加</w:t>
      </w:r>
      <w:r>
        <w:rPr>
          <w:rFonts w:hint="eastAsia" w:asciiTheme="minorEastAsia" w:hAnsiTheme="minorEastAsia" w:eastAsiaTheme="minorEastAsia" w:cstheme="minorEastAsia"/>
          <w:color w:val="auto"/>
          <w:highlight w:val="none"/>
          <w:u w:val="single"/>
        </w:rPr>
        <w:t>（单位名称）</w:t>
      </w:r>
      <w:r>
        <w:rPr>
          <w:rFonts w:hint="eastAsia" w:asciiTheme="minorEastAsia" w:hAnsiTheme="minorEastAsia" w:eastAsiaTheme="minorEastAsia" w:cstheme="minorEastAsia"/>
          <w:color w:val="auto"/>
          <w:highlight w:val="none"/>
        </w:rPr>
        <w:t>的</w:t>
      </w:r>
      <w:r>
        <w:rPr>
          <w:rFonts w:hint="eastAsia" w:asciiTheme="minorEastAsia" w:hAnsiTheme="minorEastAsia" w:eastAsiaTheme="minorEastAsia" w:cstheme="minorEastAsia"/>
          <w:color w:val="auto"/>
          <w:highlight w:val="none"/>
          <w:u w:val="single"/>
        </w:rPr>
        <w:t>（项目名称）</w:t>
      </w:r>
      <w:r>
        <w:rPr>
          <w:rFonts w:hint="eastAsia" w:asciiTheme="minorEastAsia" w:hAnsiTheme="minorEastAsia" w:eastAsiaTheme="minorEastAsia" w:cstheme="minorEastAsia"/>
          <w:color w:val="auto"/>
          <w:highlight w:val="none"/>
        </w:rPr>
        <w:t>采购活动，提供的货物全部由符合政策要求的中小企业制造。相关企业的具体情况如下：</w:t>
      </w:r>
    </w:p>
    <w:p w14:paraId="043B66B6">
      <w:pPr>
        <w:adjustRightInd w:val="0"/>
        <w:snapToGrid w:val="0"/>
        <w:spacing w:line="360" w:lineRule="auto"/>
        <w:ind w:firstLine="480" w:firstLineChars="200"/>
        <w:rPr>
          <w:rFonts w:hint="eastAsia" w:asciiTheme="minorEastAsia" w:hAnsiTheme="minorEastAsia" w:eastAsiaTheme="minorEastAsia" w:cstheme="minorEastAsia"/>
          <w:color w:val="auto"/>
          <w:highlight w:val="none"/>
          <w:u w:val="single"/>
        </w:rPr>
      </w:pPr>
    </w:p>
    <w:p w14:paraId="10D27FE3">
      <w:pPr>
        <w:numPr>
          <w:ilvl w:val="0"/>
          <w:numId w:val="1"/>
        </w:numPr>
        <w:adjustRightInd w:val="0"/>
        <w:snapToGrid w:val="0"/>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u w:val="single"/>
          <w:lang w:val="en-US" w:eastAsia="zh-CN"/>
        </w:rPr>
        <w:t xml:space="preserve">     </w:t>
      </w:r>
      <w:r>
        <w:rPr>
          <w:rFonts w:hint="eastAsia" w:asciiTheme="minorEastAsia" w:hAnsiTheme="minorEastAsia" w:eastAsiaTheme="minorEastAsia" w:cstheme="minorEastAsia"/>
          <w:color w:val="auto"/>
          <w:highlight w:val="none"/>
          <w:u w:val="single"/>
        </w:rPr>
        <w:t>（标的名称）</w:t>
      </w:r>
      <w:r>
        <w:rPr>
          <w:rFonts w:hint="eastAsia" w:asciiTheme="minorEastAsia" w:hAnsiTheme="minorEastAsia" w:eastAsiaTheme="minorEastAsia" w:cstheme="minorEastAsia"/>
          <w:color w:val="auto"/>
          <w:highlight w:val="none"/>
        </w:rPr>
        <w:t>，属于</w:t>
      </w:r>
      <w:r>
        <w:rPr>
          <w:rFonts w:hint="eastAsia" w:asciiTheme="minorEastAsia" w:hAnsiTheme="minorEastAsia" w:eastAsiaTheme="minorEastAsia" w:cstheme="minorEastAsia"/>
          <w:color w:val="auto"/>
          <w:highlight w:val="none"/>
          <w:u w:val="single"/>
        </w:rPr>
        <w:t>（招标文件中明确的所属行业）</w:t>
      </w:r>
      <w:r>
        <w:rPr>
          <w:rFonts w:hint="eastAsia" w:asciiTheme="minorEastAsia" w:hAnsiTheme="minorEastAsia" w:eastAsiaTheme="minorEastAsia" w:cstheme="minorEastAsia"/>
          <w:color w:val="auto"/>
          <w:highlight w:val="none"/>
        </w:rPr>
        <w:t>行业；制造商为</w:t>
      </w:r>
      <w:r>
        <w:rPr>
          <w:rFonts w:hint="eastAsia" w:asciiTheme="minorEastAsia" w:hAnsiTheme="minorEastAsia" w:eastAsiaTheme="minorEastAsia" w:cstheme="minorEastAsia"/>
          <w:color w:val="auto"/>
          <w:highlight w:val="none"/>
          <w:u w:val="single"/>
        </w:rPr>
        <w:t>（企业名称）</w:t>
      </w:r>
      <w:r>
        <w:rPr>
          <w:rFonts w:hint="eastAsia" w:asciiTheme="minorEastAsia" w:hAnsiTheme="minorEastAsia" w:eastAsiaTheme="minorEastAsia" w:cstheme="minorEastAsia"/>
          <w:color w:val="auto"/>
          <w:highlight w:val="none"/>
        </w:rPr>
        <w:t>，从业人员人，营业收入为</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万元，资产总额为</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万元，属于</w:t>
      </w:r>
      <w:r>
        <w:rPr>
          <w:rFonts w:hint="eastAsia" w:asciiTheme="minorEastAsia" w:hAnsiTheme="minorEastAsia" w:eastAsiaTheme="minorEastAsia" w:cstheme="minorEastAsia"/>
          <w:color w:val="auto"/>
          <w:highlight w:val="none"/>
          <w:u w:val="single"/>
        </w:rPr>
        <w:t>（中型企业、小型企业、微型企业）</w:t>
      </w:r>
      <w:r>
        <w:rPr>
          <w:rFonts w:hint="eastAsia" w:asciiTheme="minorEastAsia" w:hAnsiTheme="minorEastAsia" w:eastAsiaTheme="minorEastAsia" w:cstheme="minorEastAsia"/>
          <w:color w:val="auto"/>
          <w:highlight w:val="none"/>
        </w:rPr>
        <w:t>。</w:t>
      </w:r>
    </w:p>
    <w:p w14:paraId="004D1AA7">
      <w:pPr>
        <w:adjustRightInd w:val="0"/>
        <w:snapToGrid w:val="0"/>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w:t>
      </w:r>
    </w:p>
    <w:p w14:paraId="5FA5BF73">
      <w:pPr>
        <w:adjustRightInd w:val="0"/>
        <w:snapToGrid w:val="0"/>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以上企业，不属于大企业的分支机构，不存在控股股东为大企业的情形，也不存在与大企业的负责人为同一人的情形。</w:t>
      </w:r>
    </w:p>
    <w:p w14:paraId="32F555AF">
      <w:pPr>
        <w:adjustRightInd w:val="0"/>
        <w:snapToGrid w:val="0"/>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本企业对上述声明内容的真实性负责。如有虚假，将依法承担相应责任。</w:t>
      </w:r>
    </w:p>
    <w:p w14:paraId="70BFA677">
      <w:pPr>
        <w:adjustRightInd w:val="0"/>
        <w:snapToGrid w:val="0"/>
        <w:spacing w:line="360" w:lineRule="auto"/>
        <w:ind w:firstLine="480" w:firstLineChars="200"/>
        <w:rPr>
          <w:rFonts w:hint="eastAsia" w:asciiTheme="minorEastAsia" w:hAnsiTheme="minorEastAsia" w:eastAsiaTheme="minorEastAsia" w:cstheme="minorEastAsia"/>
          <w:color w:val="auto"/>
          <w:highlight w:val="none"/>
        </w:rPr>
      </w:pPr>
    </w:p>
    <w:p w14:paraId="6006C67E">
      <w:pPr>
        <w:adjustRightInd w:val="0"/>
        <w:snapToGrid w:val="0"/>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企业名称（盖章）：</w:t>
      </w:r>
    </w:p>
    <w:p w14:paraId="01CE503D">
      <w:pPr>
        <w:adjustRightInd w:val="0"/>
        <w:snapToGrid w:val="0"/>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日 </w:t>
      </w:r>
      <w:r>
        <w:rPr>
          <w:rFonts w:hint="eastAsia" w:asciiTheme="minorEastAsia" w:hAnsiTheme="minorEastAsia" w:eastAsiaTheme="minorEastAsia" w:cstheme="minorEastAsia"/>
          <w:color w:val="auto"/>
          <w:highlight w:val="none"/>
          <w:lang w:val="en-US" w:eastAsia="zh-CN"/>
        </w:rPr>
        <w:t xml:space="preserve"> </w:t>
      </w:r>
      <w:r>
        <w:rPr>
          <w:rFonts w:hint="eastAsia" w:asciiTheme="minorEastAsia" w:hAnsiTheme="minorEastAsia" w:eastAsiaTheme="minorEastAsia" w:cstheme="minorEastAsia"/>
          <w:color w:val="auto"/>
          <w:highlight w:val="none"/>
        </w:rPr>
        <w:t>期：</w:t>
      </w:r>
    </w:p>
    <w:p w14:paraId="0C590F86">
      <w:pPr>
        <w:adjustRightInd w:val="0"/>
        <w:snapToGrid w:val="0"/>
        <w:spacing w:line="360" w:lineRule="auto"/>
        <w:ind w:firstLine="480" w:firstLineChars="200"/>
        <w:rPr>
          <w:rFonts w:hint="eastAsia" w:asciiTheme="minorEastAsia" w:hAnsiTheme="minorEastAsia" w:eastAsiaTheme="minorEastAsia" w:cstheme="minorEastAsia"/>
          <w:color w:val="auto"/>
          <w:highlight w:val="none"/>
        </w:rPr>
      </w:pPr>
    </w:p>
    <w:p w14:paraId="7562C443">
      <w:pPr>
        <w:adjustRightInd w:val="0"/>
        <w:snapToGrid w:val="0"/>
        <w:spacing w:line="360" w:lineRule="auto"/>
        <w:ind w:firstLine="480" w:firstLineChars="200"/>
        <w:rPr>
          <w:rFonts w:hint="eastAsia" w:asciiTheme="minorEastAsia" w:hAnsiTheme="minorEastAsia" w:eastAsiaTheme="minorEastAsia" w:cstheme="minorEastAsia"/>
          <w:color w:val="auto"/>
          <w:highlight w:val="none"/>
        </w:rPr>
      </w:pPr>
    </w:p>
    <w:p w14:paraId="1E757871">
      <w:pPr>
        <w:adjustRightInd w:val="0"/>
        <w:snapToGrid w:val="0"/>
        <w:spacing w:line="360" w:lineRule="auto"/>
        <w:rPr>
          <w:rFonts w:hint="eastAsia" w:asciiTheme="minorEastAsia" w:hAnsiTheme="minorEastAsia" w:eastAsiaTheme="minorEastAsia" w:cstheme="minorEastAsia"/>
          <w:color w:val="auto"/>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Theme="minorEastAsia" w:hAnsiTheme="minorEastAsia" w:eastAsiaTheme="minorEastAsia" w:cstheme="minorEastAsia"/>
          <w:color w:val="auto"/>
          <w:highlight w:val="none"/>
        </w:rPr>
        <w:t>注：从业人员、营业收入、资产总额填报上一年度数据，无上一年度数据的新成立企业可不填报。</w:t>
      </w:r>
    </w:p>
    <w:p w14:paraId="3965858A">
      <w:pPr>
        <w:pStyle w:val="3"/>
        <w:spacing w:line="480" w:lineRule="auto"/>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32"/>
          <w:highlight w:val="none"/>
        </w:rPr>
        <w:t>十三、残疾人福利性单位声明函</w:t>
      </w:r>
    </w:p>
    <w:p w14:paraId="304D01B7">
      <w:pPr>
        <w:adjustRightInd w:val="0"/>
        <w:snapToGrid w:val="0"/>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本单位郑重声明，根据《财政部 民政部 中国残疾人联合会关于促进残疾人就业政府采购政策的通知》（财库〔2017〕141号）的规定，本单位为符合条件的残疾人福利性单位，且本单位参加_____单位的______项目采购活动提供本单位制造的货物（由本单位承担工程/提供服务），或者提供其他残疾人福利性单位制造的货物（不包括使用非残疾人福利性单位注册商标的货物）。</w:t>
      </w:r>
    </w:p>
    <w:p w14:paraId="5AD7748B">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本公司对上述声明内容事项真实性负责。如经查实上述声明的内容事项存在虚假，本单位愿意接受以提供虚假材料谋取中标追究法律责任。</w:t>
      </w:r>
    </w:p>
    <w:p w14:paraId="26CEC5CB">
      <w:pPr>
        <w:spacing w:line="360" w:lineRule="auto"/>
        <w:rPr>
          <w:rFonts w:hint="eastAsia" w:asciiTheme="minorEastAsia" w:hAnsiTheme="minorEastAsia" w:eastAsiaTheme="minorEastAsia" w:cstheme="minorEastAsia"/>
          <w:color w:val="auto"/>
          <w:highlight w:val="none"/>
        </w:rPr>
      </w:pPr>
    </w:p>
    <w:p w14:paraId="5C0C9C17">
      <w:pPr>
        <w:spacing w:line="360" w:lineRule="auto"/>
        <w:rPr>
          <w:rFonts w:hint="eastAsia" w:asciiTheme="minorEastAsia" w:hAnsiTheme="minorEastAsia" w:eastAsiaTheme="minorEastAsia" w:cstheme="minorEastAsia"/>
          <w:color w:val="auto"/>
          <w:highlight w:val="none"/>
        </w:rPr>
      </w:pPr>
    </w:p>
    <w:p w14:paraId="0059911F">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投标人名称（盖单位公章）：</w:t>
      </w:r>
    </w:p>
    <w:p w14:paraId="48EF2ED3">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法定代表人或授权代表（签字）：</w:t>
      </w:r>
    </w:p>
    <w:p w14:paraId="7E403C7C">
      <w:pPr>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日期：</w:t>
      </w:r>
    </w:p>
    <w:p w14:paraId="22D7F3F2">
      <w:pPr>
        <w:spacing w:line="360" w:lineRule="auto"/>
        <w:rPr>
          <w:rFonts w:hint="eastAsia" w:asciiTheme="minorEastAsia" w:hAnsiTheme="minorEastAsia" w:eastAsiaTheme="minorEastAsia" w:cstheme="minorEastAsia"/>
          <w:color w:val="auto"/>
          <w:highlight w:val="none"/>
        </w:rPr>
      </w:pPr>
    </w:p>
    <w:p w14:paraId="05BFE034">
      <w:pPr>
        <w:spacing w:line="360" w:lineRule="auto"/>
        <w:rPr>
          <w:rFonts w:hint="eastAsia" w:asciiTheme="minorEastAsia" w:hAnsiTheme="minorEastAsia" w:eastAsiaTheme="minorEastAsia" w:cstheme="minorEastAsia"/>
          <w:color w:val="auto"/>
          <w:highlight w:val="none"/>
        </w:rPr>
        <w:sectPr>
          <w:pgSz w:w="11906" w:h="16838"/>
          <w:pgMar w:top="1440" w:right="1080" w:bottom="1440" w:left="108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Theme="minorEastAsia" w:hAnsiTheme="minorEastAsia" w:eastAsiaTheme="minorEastAsia" w:cstheme="minorEastAsia"/>
          <w:color w:val="auto"/>
          <w:highlight w:val="none"/>
        </w:rPr>
        <w:t>注：非残疾人福利性单位不用提供以上声明函。</w:t>
      </w:r>
    </w:p>
    <w:p w14:paraId="1035A7E9">
      <w:pPr>
        <w:pStyle w:val="3"/>
        <w:keepLines w:val="0"/>
        <w:pageBreakBefore w:val="0"/>
        <w:widowControl/>
        <w:kinsoku/>
        <w:wordWrap/>
        <w:overflowPunct/>
        <w:topLinePunct w:val="0"/>
        <w:autoSpaceDE/>
        <w:autoSpaceDN/>
        <w:bidi w:val="0"/>
        <w:spacing w:line="480" w:lineRule="auto"/>
        <w:textAlignment w:val="auto"/>
        <w:rPr>
          <w:rFonts w:hint="eastAsia"/>
          <w:color w:val="auto"/>
          <w:sz w:val="32"/>
          <w:szCs w:val="32"/>
          <w:highlight w:val="none"/>
          <w:lang w:val="en-US" w:eastAsia="zh-CN"/>
        </w:rPr>
      </w:pPr>
      <w:r>
        <w:rPr>
          <w:rFonts w:hint="eastAsia"/>
          <w:color w:val="auto"/>
          <w:sz w:val="32"/>
          <w:szCs w:val="32"/>
          <w:highlight w:val="none"/>
          <w:lang w:val="en-US" w:eastAsia="zh-CN"/>
        </w:rPr>
        <w:t>十四、本项目参加采购活动的投标人在前三年内不得具有行贿犯罪记录的承诺</w:t>
      </w:r>
    </w:p>
    <w:p w14:paraId="55478DEC">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cs="宋体"/>
          <w:color w:val="auto"/>
          <w:highlight w:val="none"/>
          <w:lang w:eastAsia="zh-CN"/>
        </w:rPr>
      </w:pPr>
    </w:p>
    <w:p w14:paraId="46BF2CD9">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cs="宋体"/>
          <w:color w:val="auto"/>
          <w:highlight w:val="none"/>
          <w:lang w:eastAsia="zh-CN"/>
        </w:rPr>
      </w:pPr>
      <w:r>
        <w:rPr>
          <w:rFonts w:hint="eastAsia" w:ascii="宋体" w:hAnsi="宋体" w:cs="宋体"/>
          <w:color w:val="auto"/>
          <w:highlight w:val="none"/>
          <w:lang w:eastAsia="zh-CN"/>
        </w:rPr>
        <w:t>四川五邑招标代理有限公司：</w:t>
      </w:r>
    </w:p>
    <w:p w14:paraId="23E64EBF">
      <w:pPr>
        <w:keepLines w:val="0"/>
        <w:pageBreakBefore w:val="0"/>
        <w:kinsoku/>
        <w:overflowPunct/>
        <w:bidi w:val="0"/>
        <w:spacing w:line="360" w:lineRule="auto"/>
        <w:ind w:firstLine="482" w:firstLineChars="200"/>
        <w:rPr>
          <w:rFonts w:hint="eastAsia" w:hAnsi="宋体" w:cs="宋体"/>
          <w:b/>
          <w:bCs/>
          <w:color w:val="auto"/>
          <w:highlight w:val="none"/>
        </w:rPr>
      </w:pPr>
      <w:r>
        <w:rPr>
          <w:rFonts w:hint="eastAsia" w:hAnsi="宋体" w:cs="宋体"/>
          <w:b/>
          <w:bCs/>
          <w:color w:val="auto"/>
          <w:highlight w:val="none"/>
        </w:rPr>
        <w:t>本单位承诺在参加本项目</w:t>
      </w:r>
      <w:r>
        <w:rPr>
          <w:rFonts w:hint="eastAsia" w:hAnsi="宋体" w:cs="宋体"/>
          <w:b/>
          <w:bCs/>
          <w:color w:val="auto"/>
          <w:highlight w:val="none"/>
          <w:lang w:eastAsia="zh-CN"/>
        </w:rPr>
        <w:t>采购活动</w:t>
      </w:r>
      <w:r>
        <w:rPr>
          <w:rFonts w:hint="eastAsia" w:hAnsi="宋体" w:cs="宋体"/>
          <w:b/>
          <w:bCs/>
          <w:color w:val="auto"/>
          <w:highlight w:val="none"/>
        </w:rPr>
        <w:t>前三年中本单位及其现任法定代表人、主要负责人不具有行贿犯罪记录。</w:t>
      </w:r>
    </w:p>
    <w:p w14:paraId="326D2FD4">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本公司对上述承诺内容事项真实性负责。如经查实上述承诺的内容事项存在虚假，我公司愿意接受以提供虚假材料谋取中标追究法律责任。</w:t>
      </w:r>
    </w:p>
    <w:p w14:paraId="1492EBF5">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且同时承诺如本单位中标，如果虚假承诺，作无效投标、中标处理。</w:t>
      </w:r>
    </w:p>
    <w:p w14:paraId="5E237317">
      <w:pPr>
        <w:keepLines w:val="0"/>
        <w:pageBreakBefore w:val="0"/>
        <w:kinsoku/>
        <w:overflowPunct/>
        <w:bidi w:val="0"/>
        <w:spacing w:line="360" w:lineRule="auto"/>
        <w:rPr>
          <w:rFonts w:hAnsi="宋体" w:cs="宋体"/>
          <w:color w:val="auto"/>
          <w:highlight w:val="none"/>
        </w:rPr>
      </w:pPr>
    </w:p>
    <w:p w14:paraId="7523F2F8">
      <w:pPr>
        <w:keepLines w:val="0"/>
        <w:pageBreakBefore w:val="0"/>
        <w:kinsoku/>
        <w:overflowPunct/>
        <w:bidi w:val="0"/>
        <w:spacing w:line="360" w:lineRule="auto"/>
        <w:rPr>
          <w:rFonts w:hAnsi="宋体" w:cs="宋体"/>
          <w:color w:val="auto"/>
          <w:highlight w:val="none"/>
        </w:rPr>
      </w:pPr>
    </w:p>
    <w:p w14:paraId="58F5C4EC">
      <w:pPr>
        <w:keepLines w:val="0"/>
        <w:pageBreakBefore w:val="0"/>
        <w:kinsoku/>
        <w:overflowPunct/>
        <w:bidi w:val="0"/>
        <w:spacing w:line="360" w:lineRule="auto"/>
        <w:rPr>
          <w:rFonts w:hint="eastAsia" w:hAnsi="宋体" w:cs="宋体"/>
          <w:color w:val="auto"/>
          <w:highlight w:val="none"/>
        </w:rPr>
      </w:pPr>
      <w:r>
        <w:rPr>
          <w:rFonts w:hint="eastAsia" w:hAnsi="宋体" w:cs="宋体"/>
          <w:color w:val="auto"/>
          <w:highlight w:val="none"/>
        </w:rPr>
        <w:t>投标人名称（盖单位公章）：</w:t>
      </w:r>
    </w:p>
    <w:p w14:paraId="396805A5">
      <w:pPr>
        <w:keepLines w:val="0"/>
        <w:pageBreakBefore w:val="0"/>
        <w:kinsoku/>
        <w:overflowPunct/>
        <w:bidi w:val="0"/>
        <w:spacing w:line="360" w:lineRule="auto"/>
        <w:rPr>
          <w:rFonts w:hint="eastAsia" w:hAnsi="宋体" w:cs="宋体"/>
          <w:color w:val="auto"/>
          <w:highlight w:val="none"/>
        </w:rPr>
      </w:pPr>
      <w:r>
        <w:rPr>
          <w:rFonts w:hint="eastAsia" w:hAnsi="宋体" w:cs="宋体"/>
          <w:color w:val="auto"/>
          <w:highlight w:val="none"/>
        </w:rPr>
        <w:t>法定代表人或授权代表（签字）：</w:t>
      </w:r>
    </w:p>
    <w:p w14:paraId="6AA8B4FD">
      <w:pPr>
        <w:keepLines w:val="0"/>
        <w:pageBreakBefore w:val="0"/>
        <w:kinsoku/>
        <w:overflowPunct/>
        <w:bidi w:val="0"/>
        <w:spacing w:line="360" w:lineRule="auto"/>
        <w:rPr>
          <w:rFonts w:hint="eastAsia" w:hAnsi="宋体" w:cs="宋体"/>
          <w:color w:val="auto"/>
          <w:highlight w:val="none"/>
        </w:rPr>
        <w:sectPr>
          <w:headerReference r:id="rId31" w:type="first"/>
          <w:footerReference r:id="rId32" w:type="firs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hAnsi="宋体" w:cs="宋体"/>
          <w:color w:val="auto"/>
          <w:highlight w:val="none"/>
        </w:rPr>
        <w:t>日期：</w:t>
      </w:r>
    </w:p>
    <w:p w14:paraId="26BEF888">
      <w:pPr>
        <w:pStyle w:val="3"/>
        <w:keepLines w:val="0"/>
        <w:pageBreakBefore w:val="0"/>
        <w:widowControl/>
        <w:kinsoku/>
        <w:wordWrap/>
        <w:overflowPunct/>
        <w:topLinePunct w:val="0"/>
        <w:autoSpaceDE/>
        <w:autoSpaceDN/>
        <w:bidi w:val="0"/>
        <w:spacing w:line="480" w:lineRule="auto"/>
        <w:textAlignment w:val="auto"/>
        <w:rPr>
          <w:rFonts w:hint="eastAsia"/>
          <w:color w:val="auto"/>
          <w:sz w:val="32"/>
          <w:szCs w:val="32"/>
          <w:highlight w:val="none"/>
          <w:lang w:val="en-US" w:eastAsia="zh-CN"/>
        </w:rPr>
      </w:pPr>
      <w:r>
        <w:rPr>
          <w:rFonts w:hint="eastAsia"/>
          <w:color w:val="auto"/>
          <w:sz w:val="32"/>
          <w:szCs w:val="32"/>
          <w:highlight w:val="none"/>
          <w:lang w:val="en-US" w:eastAsia="zh-CN"/>
        </w:rPr>
        <w:t>十五、近三年在经营活动中没有重大违法记录的书面声明</w:t>
      </w:r>
    </w:p>
    <w:p w14:paraId="6D6B6908">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cs="宋体"/>
          <w:color w:val="auto"/>
          <w:highlight w:val="none"/>
          <w:lang w:eastAsia="zh-CN"/>
        </w:rPr>
      </w:pPr>
    </w:p>
    <w:p w14:paraId="3E91AC60">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cs="宋体"/>
          <w:color w:val="auto"/>
          <w:highlight w:val="none"/>
          <w:lang w:eastAsia="zh-CN"/>
        </w:rPr>
      </w:pPr>
      <w:r>
        <w:rPr>
          <w:rFonts w:hint="eastAsia" w:ascii="宋体" w:hAnsi="宋体" w:cs="宋体"/>
          <w:color w:val="auto"/>
          <w:highlight w:val="none"/>
          <w:lang w:eastAsia="zh-CN"/>
        </w:rPr>
        <w:t>四川五邑招标代理有限公司：</w:t>
      </w:r>
    </w:p>
    <w:p w14:paraId="23159385">
      <w:pPr>
        <w:keepLines w:val="0"/>
        <w:pageBreakBefore w:val="0"/>
        <w:kinsoku/>
        <w:overflowPunct/>
        <w:bidi w:val="0"/>
        <w:spacing w:line="360" w:lineRule="auto"/>
        <w:ind w:firstLine="482" w:firstLineChars="200"/>
        <w:rPr>
          <w:rFonts w:hint="eastAsia" w:hAnsi="宋体" w:cs="宋体"/>
          <w:b/>
          <w:bCs/>
          <w:color w:val="auto"/>
          <w:highlight w:val="none"/>
        </w:rPr>
      </w:pPr>
      <w:r>
        <w:rPr>
          <w:rFonts w:hint="eastAsia" w:hAnsi="宋体" w:cs="宋体"/>
          <w:b/>
          <w:bCs/>
          <w:color w:val="auto"/>
          <w:highlight w:val="none"/>
        </w:rPr>
        <w:t>本单位（公司名称）参加（项目名称）的投标活动，现承诺本单位在参加</w:t>
      </w:r>
      <w:r>
        <w:rPr>
          <w:rFonts w:hint="eastAsia" w:hAnsi="宋体" w:cs="宋体"/>
          <w:b/>
          <w:bCs/>
          <w:color w:val="auto"/>
          <w:highlight w:val="none"/>
          <w:lang w:eastAsia="zh-CN"/>
        </w:rPr>
        <w:t>采购活动</w:t>
      </w:r>
      <w:r>
        <w:rPr>
          <w:rFonts w:hint="eastAsia" w:hAnsi="宋体" w:cs="宋体"/>
          <w:b/>
          <w:bCs/>
          <w:color w:val="auto"/>
          <w:highlight w:val="none"/>
        </w:rPr>
        <w:t>前三年内，在经营活动中没有重大违法记录。</w:t>
      </w:r>
    </w:p>
    <w:p w14:paraId="13362AE9">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本公司对上述承诺内容事项真实性负责。如经查实上述承诺的内容事项存在虚假，我公司愿意接受以提供虚假材料谋取中标追究法律责任。</w:t>
      </w:r>
    </w:p>
    <w:p w14:paraId="321BE37B">
      <w:pPr>
        <w:keepLines w:val="0"/>
        <w:pageBreakBefore w:val="0"/>
        <w:kinsoku/>
        <w:overflowPunct/>
        <w:bidi w:val="0"/>
        <w:spacing w:line="360" w:lineRule="auto"/>
        <w:ind w:firstLine="480" w:firstLineChars="200"/>
        <w:rPr>
          <w:rFonts w:hint="eastAsia" w:hAnsi="宋体" w:cs="宋体"/>
          <w:color w:val="auto"/>
          <w:highlight w:val="none"/>
        </w:rPr>
      </w:pPr>
    </w:p>
    <w:p w14:paraId="5EC010DF">
      <w:pPr>
        <w:pStyle w:val="27"/>
        <w:rPr>
          <w:rFonts w:hint="eastAsia"/>
          <w:color w:val="auto"/>
          <w:highlight w:val="none"/>
        </w:rPr>
      </w:pPr>
    </w:p>
    <w:p w14:paraId="7CC3137B">
      <w:pPr>
        <w:keepLines w:val="0"/>
        <w:pageBreakBefore w:val="0"/>
        <w:kinsoku/>
        <w:overflowPunct/>
        <w:bidi w:val="0"/>
        <w:spacing w:line="360" w:lineRule="auto"/>
        <w:rPr>
          <w:rFonts w:hint="eastAsia" w:hAnsi="宋体" w:cs="宋体"/>
          <w:color w:val="auto"/>
          <w:highlight w:val="none"/>
        </w:rPr>
      </w:pPr>
      <w:r>
        <w:rPr>
          <w:rFonts w:hint="eastAsia" w:hAnsi="宋体" w:cs="宋体"/>
          <w:color w:val="auto"/>
          <w:highlight w:val="none"/>
        </w:rPr>
        <w:t xml:space="preserve">说明：重大违法记录中的较大数额罚款的具体金额标准，根据财政部关于《中华人民共和国政府采购法实施条例》第十九条第一款“较大数额罚款”具体适用问题的意见（财库〔2022〕3号）的规定，认定为200万元以上的罚款，法律、行政法规以及国务院有关部门明确规定相关领域“较大数额罚款”标准高于200万元的，从其规定。 </w:t>
      </w:r>
    </w:p>
    <w:p w14:paraId="42ADFC91">
      <w:pPr>
        <w:keepLines w:val="0"/>
        <w:pageBreakBefore w:val="0"/>
        <w:kinsoku/>
        <w:overflowPunct/>
        <w:bidi w:val="0"/>
        <w:spacing w:line="360" w:lineRule="auto"/>
        <w:rPr>
          <w:rFonts w:hAnsi="宋体" w:cs="宋体"/>
          <w:color w:val="auto"/>
          <w:highlight w:val="none"/>
        </w:rPr>
      </w:pPr>
    </w:p>
    <w:p w14:paraId="6DC43DB0">
      <w:pPr>
        <w:keepLines w:val="0"/>
        <w:pageBreakBefore w:val="0"/>
        <w:kinsoku/>
        <w:overflowPunct/>
        <w:bidi w:val="0"/>
        <w:spacing w:line="360" w:lineRule="auto"/>
        <w:rPr>
          <w:rFonts w:hAnsi="宋体" w:cs="宋体"/>
          <w:color w:val="auto"/>
          <w:highlight w:val="none"/>
        </w:rPr>
      </w:pPr>
    </w:p>
    <w:p w14:paraId="1C3D6011">
      <w:pPr>
        <w:keepLines w:val="0"/>
        <w:pageBreakBefore w:val="0"/>
        <w:kinsoku/>
        <w:overflowPunct/>
        <w:bidi w:val="0"/>
        <w:spacing w:line="360" w:lineRule="auto"/>
        <w:rPr>
          <w:rFonts w:hint="eastAsia" w:hAnsi="宋体" w:cs="宋体"/>
          <w:color w:val="auto"/>
          <w:highlight w:val="none"/>
        </w:rPr>
      </w:pPr>
      <w:r>
        <w:rPr>
          <w:rFonts w:hint="eastAsia" w:hAnsi="宋体" w:cs="宋体"/>
          <w:color w:val="auto"/>
          <w:highlight w:val="none"/>
        </w:rPr>
        <w:t>投标人名称（盖单位公章）：</w:t>
      </w:r>
    </w:p>
    <w:p w14:paraId="0B3D9BD2">
      <w:pPr>
        <w:keepLines w:val="0"/>
        <w:pageBreakBefore w:val="0"/>
        <w:kinsoku/>
        <w:overflowPunct/>
        <w:bidi w:val="0"/>
        <w:spacing w:line="360" w:lineRule="auto"/>
        <w:rPr>
          <w:rFonts w:hint="eastAsia" w:hAnsi="宋体" w:cs="宋体"/>
          <w:color w:val="auto"/>
          <w:highlight w:val="none"/>
        </w:rPr>
      </w:pPr>
      <w:r>
        <w:rPr>
          <w:rFonts w:hint="eastAsia" w:hAnsi="宋体" w:cs="宋体"/>
          <w:color w:val="auto"/>
          <w:highlight w:val="none"/>
        </w:rPr>
        <w:t>法定代表人或授权代表（签字）：</w:t>
      </w:r>
    </w:p>
    <w:p w14:paraId="6770E89E">
      <w:pPr>
        <w:keepLines w:val="0"/>
        <w:pageBreakBefore w:val="0"/>
        <w:kinsoku/>
        <w:overflowPunct/>
        <w:bidi w:val="0"/>
        <w:spacing w:line="360" w:lineRule="auto"/>
        <w:rPr>
          <w:rFonts w:hint="eastAsia" w:hAnsi="宋体" w:cs="宋体"/>
          <w:color w:val="auto"/>
          <w:highlight w:val="none"/>
        </w:rPr>
        <w:sectPr>
          <w:headerReference r:id="rId33" w:type="first"/>
          <w:footerReference r:id="rId34" w:type="firs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hAnsi="宋体" w:cs="宋体"/>
          <w:color w:val="auto"/>
          <w:highlight w:val="none"/>
        </w:rPr>
        <w:t>日期：</w:t>
      </w:r>
    </w:p>
    <w:p w14:paraId="667E685F">
      <w:pPr>
        <w:pStyle w:val="3"/>
        <w:keepLines w:val="0"/>
        <w:pageBreakBefore w:val="0"/>
        <w:widowControl/>
        <w:kinsoku/>
        <w:wordWrap/>
        <w:overflowPunct/>
        <w:topLinePunct w:val="0"/>
        <w:autoSpaceDE/>
        <w:autoSpaceDN/>
        <w:bidi w:val="0"/>
        <w:spacing w:line="480" w:lineRule="auto"/>
        <w:textAlignment w:val="auto"/>
        <w:rPr>
          <w:rFonts w:hint="eastAsia"/>
          <w:color w:val="auto"/>
          <w:sz w:val="32"/>
          <w:szCs w:val="32"/>
          <w:highlight w:val="none"/>
          <w:lang w:val="en-US" w:eastAsia="zh-CN"/>
        </w:rPr>
      </w:pPr>
      <w:r>
        <w:rPr>
          <w:rFonts w:hint="eastAsia"/>
          <w:color w:val="auto"/>
          <w:sz w:val="32"/>
          <w:szCs w:val="32"/>
          <w:highlight w:val="none"/>
          <w:lang w:val="en-US" w:eastAsia="zh-CN"/>
        </w:rPr>
        <w:t>十六、知识产权声明函</w:t>
      </w:r>
    </w:p>
    <w:p w14:paraId="6489BE61">
      <w:pPr>
        <w:keepLines w:val="0"/>
        <w:pageBreakBefore w:val="0"/>
        <w:kinsoku/>
        <w:overflowPunct/>
        <w:bidi w:val="0"/>
        <w:spacing w:line="360" w:lineRule="auto"/>
        <w:rPr>
          <w:rFonts w:hint="eastAsia" w:hAnsi="宋体" w:cs="宋体"/>
          <w:color w:val="auto"/>
          <w:highlight w:val="none"/>
          <w:lang w:eastAsia="zh-CN"/>
        </w:rPr>
      </w:pPr>
    </w:p>
    <w:p w14:paraId="1A77F00D">
      <w:pPr>
        <w:keepLines w:val="0"/>
        <w:pageBreakBefore w:val="0"/>
        <w:kinsoku/>
        <w:overflowPunct/>
        <w:bidi w:val="0"/>
        <w:spacing w:line="360" w:lineRule="auto"/>
        <w:rPr>
          <w:rFonts w:hint="eastAsia" w:hAnsi="宋体" w:eastAsia="宋体" w:cs="宋体"/>
          <w:color w:val="auto"/>
          <w:highlight w:val="none"/>
          <w:lang w:eastAsia="zh-CN"/>
        </w:rPr>
      </w:pPr>
      <w:r>
        <w:rPr>
          <w:rFonts w:hint="eastAsia" w:hAnsi="宋体" w:cs="宋体"/>
          <w:color w:val="auto"/>
          <w:highlight w:val="none"/>
          <w:lang w:eastAsia="zh-CN"/>
        </w:rPr>
        <w:t>四川五邑招标代理有限公司：</w:t>
      </w:r>
    </w:p>
    <w:p w14:paraId="42929577">
      <w:pPr>
        <w:keepLines w:val="0"/>
        <w:pageBreakBefore w:val="0"/>
        <w:kinsoku/>
        <w:overflowPunct/>
        <w:bidi w:val="0"/>
        <w:spacing w:line="360" w:lineRule="auto"/>
        <w:ind w:firstLine="482" w:firstLineChars="200"/>
        <w:rPr>
          <w:rFonts w:hint="eastAsia" w:hAnsi="宋体" w:cs="宋体"/>
          <w:b/>
          <w:bCs/>
          <w:color w:val="auto"/>
          <w:highlight w:val="none"/>
        </w:rPr>
      </w:pPr>
      <w:r>
        <w:rPr>
          <w:rFonts w:hint="eastAsia" w:hAnsi="宋体" w:cs="宋体"/>
          <w:b/>
          <w:bCs/>
          <w:color w:val="auto"/>
          <w:highlight w:val="none"/>
        </w:rPr>
        <w:t>本单位（公司名称）参加（项目名称）的投标活动，现承诺声明：</w:t>
      </w:r>
    </w:p>
    <w:p w14:paraId="4F7792E7">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1</w:t>
      </w:r>
      <w:r>
        <w:rPr>
          <w:rFonts w:hint="eastAsia" w:hAnsi="宋体" w:cs="宋体"/>
          <w:color w:val="auto"/>
          <w:highlight w:val="none"/>
          <w:lang w:eastAsia="zh-CN"/>
        </w:rPr>
        <w:t>、</w:t>
      </w:r>
      <w:r>
        <w:rPr>
          <w:rFonts w:hint="eastAsia" w:hAnsi="宋体" w:cs="宋体"/>
          <w:color w:val="auto"/>
          <w:highlight w:val="none"/>
        </w:rPr>
        <w:t>本单位保证在本项目使用的任何产品和服务（包括部分使用）时，不会产生因第三方提出侵犯其专利权、商标权或其它知识产权而引起的法律和经济纠纷，如因专利权、商标权或其它知识产权而引起法律和经济纠纷，由本单位承担所有相关责任。</w:t>
      </w:r>
    </w:p>
    <w:p w14:paraId="6C1953CA">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2</w:t>
      </w:r>
      <w:r>
        <w:rPr>
          <w:rFonts w:hint="eastAsia" w:hAnsi="宋体" w:cs="宋体"/>
          <w:color w:val="auto"/>
          <w:highlight w:val="none"/>
          <w:lang w:eastAsia="zh-CN"/>
        </w:rPr>
        <w:t>、</w:t>
      </w:r>
      <w:r>
        <w:rPr>
          <w:rFonts w:hint="eastAsia" w:hAnsi="宋体" w:cs="宋体"/>
          <w:color w:val="auto"/>
          <w:highlight w:val="none"/>
        </w:rPr>
        <w:t>采购人享有本项目实施过程中产生的知识成果及知识产权。</w:t>
      </w:r>
    </w:p>
    <w:p w14:paraId="796522C2">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3</w:t>
      </w:r>
      <w:r>
        <w:rPr>
          <w:rFonts w:hint="eastAsia" w:hAnsi="宋体" w:cs="宋体"/>
          <w:color w:val="auto"/>
          <w:highlight w:val="none"/>
          <w:lang w:eastAsia="zh-CN"/>
        </w:rPr>
        <w:t>、</w:t>
      </w:r>
      <w:r>
        <w:rPr>
          <w:rFonts w:hint="eastAsia" w:hAnsi="宋体" w:cs="宋体"/>
          <w:color w:val="auto"/>
          <w:highlight w:val="none"/>
        </w:rPr>
        <w:t>本单位声明如果在项目实施过程中涉及采用自有知识成果，本单位提供使用自有知识成果的相关资料并为其真实性单独负责，在使用该知识成果后，本单位提供开发接口和开发手册等技术文档给采购人，并承诺提供无限期技术支持，采购人享有永久使用权（含采购人委托第三方在该项目后续开发的使用权）。</w:t>
      </w:r>
    </w:p>
    <w:p w14:paraId="2DFF92B3">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4</w:t>
      </w:r>
      <w:r>
        <w:rPr>
          <w:rFonts w:hint="eastAsia" w:hAnsi="宋体" w:cs="宋体"/>
          <w:color w:val="auto"/>
          <w:highlight w:val="none"/>
          <w:lang w:eastAsia="zh-CN"/>
        </w:rPr>
        <w:t>、</w:t>
      </w:r>
      <w:r>
        <w:rPr>
          <w:rFonts w:hint="eastAsia" w:hAnsi="宋体" w:cs="宋体"/>
          <w:color w:val="auto"/>
          <w:highlight w:val="none"/>
        </w:rPr>
        <w:t xml:space="preserve">如采用本单位所不拥有的知识产权，本单位承诺在本项目投标报价中已经包括合法获取该知识产权的相关费用。 </w:t>
      </w:r>
    </w:p>
    <w:p w14:paraId="3D388F53">
      <w:pPr>
        <w:keepLines w:val="0"/>
        <w:pageBreakBefore w:val="0"/>
        <w:kinsoku/>
        <w:overflowPunct/>
        <w:bidi w:val="0"/>
        <w:spacing w:line="360" w:lineRule="auto"/>
        <w:ind w:firstLine="482" w:firstLineChars="200"/>
        <w:rPr>
          <w:rFonts w:hint="eastAsia" w:hAnsi="宋体" w:cs="宋体"/>
          <w:b/>
          <w:bCs/>
          <w:color w:val="auto"/>
          <w:highlight w:val="none"/>
        </w:rPr>
      </w:pPr>
    </w:p>
    <w:p w14:paraId="4CF6410A">
      <w:pPr>
        <w:keepLines w:val="0"/>
        <w:pageBreakBefore w:val="0"/>
        <w:kinsoku/>
        <w:overflowPunct/>
        <w:bidi w:val="0"/>
        <w:spacing w:line="360" w:lineRule="auto"/>
        <w:ind w:firstLine="482" w:firstLineChars="200"/>
        <w:rPr>
          <w:rFonts w:hint="eastAsia" w:hAnsi="宋体" w:cs="宋体"/>
          <w:b/>
          <w:bCs/>
          <w:color w:val="auto"/>
          <w:highlight w:val="none"/>
        </w:rPr>
      </w:pPr>
      <w:r>
        <w:rPr>
          <w:rFonts w:hint="eastAsia" w:hAnsi="宋体" w:cs="宋体"/>
          <w:b/>
          <w:bCs/>
          <w:color w:val="auto"/>
          <w:highlight w:val="none"/>
        </w:rPr>
        <w:t>本公司对上述承诺声明内容事项真实性负责。如经查实上述承诺声明的内容事项存在虚假或未履行，本单位愿意接受以提供虚假材料谋取中标追究法律责任。</w:t>
      </w:r>
    </w:p>
    <w:p w14:paraId="5228ADDF">
      <w:pPr>
        <w:pStyle w:val="18"/>
        <w:keepLines w:val="0"/>
        <w:pageBreakBefore w:val="0"/>
        <w:kinsoku/>
        <w:overflowPunct/>
        <w:bidi w:val="0"/>
        <w:spacing w:line="360" w:lineRule="auto"/>
        <w:ind w:firstLine="422" w:firstLineChars="200"/>
        <w:rPr>
          <w:rFonts w:hAnsi="宋体" w:cs="宋体"/>
          <w:b/>
          <w:bCs/>
          <w:color w:val="auto"/>
          <w:highlight w:val="none"/>
        </w:rPr>
      </w:pPr>
    </w:p>
    <w:p w14:paraId="374EB923">
      <w:pPr>
        <w:keepLines w:val="0"/>
        <w:pageBreakBefore w:val="0"/>
        <w:kinsoku/>
        <w:overflowPunct/>
        <w:bidi w:val="0"/>
        <w:spacing w:line="360" w:lineRule="auto"/>
        <w:rPr>
          <w:rFonts w:hint="eastAsia" w:hAnsi="宋体" w:cs="宋体"/>
          <w:color w:val="auto"/>
          <w:highlight w:val="none"/>
        </w:rPr>
      </w:pPr>
      <w:r>
        <w:rPr>
          <w:rFonts w:hint="eastAsia" w:hAnsi="宋体" w:cs="宋体"/>
          <w:color w:val="auto"/>
          <w:highlight w:val="none"/>
        </w:rPr>
        <w:t>投标人名称（盖单位公章）：</w:t>
      </w:r>
    </w:p>
    <w:p w14:paraId="4E126B76">
      <w:pPr>
        <w:keepLines w:val="0"/>
        <w:pageBreakBefore w:val="0"/>
        <w:kinsoku/>
        <w:overflowPunct/>
        <w:bidi w:val="0"/>
        <w:spacing w:line="360" w:lineRule="auto"/>
        <w:rPr>
          <w:rFonts w:hint="eastAsia" w:hAnsi="宋体" w:cs="宋体"/>
          <w:color w:val="auto"/>
          <w:highlight w:val="none"/>
        </w:rPr>
      </w:pPr>
      <w:r>
        <w:rPr>
          <w:rFonts w:hint="eastAsia" w:hAnsi="宋体" w:cs="宋体"/>
          <w:color w:val="auto"/>
          <w:highlight w:val="none"/>
        </w:rPr>
        <w:t>法定代表人或授权代表（签字）：</w:t>
      </w:r>
    </w:p>
    <w:p w14:paraId="5293C578">
      <w:pPr>
        <w:keepLines w:val="0"/>
        <w:pageBreakBefore w:val="0"/>
        <w:kinsoku/>
        <w:overflowPunct/>
        <w:bidi w:val="0"/>
        <w:spacing w:line="360" w:lineRule="auto"/>
        <w:rPr>
          <w:rFonts w:hint="eastAsia" w:hAnsi="宋体" w:cs="宋体"/>
          <w:color w:val="auto"/>
          <w:highlight w:val="none"/>
        </w:rPr>
        <w:sectPr>
          <w:headerReference r:id="rId35" w:type="first"/>
          <w:footerReference r:id="rId36" w:type="firs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hAnsi="宋体" w:cs="宋体"/>
          <w:color w:val="auto"/>
          <w:highlight w:val="none"/>
        </w:rPr>
        <w:t>日期：</w:t>
      </w:r>
    </w:p>
    <w:p w14:paraId="2E6518D4">
      <w:pPr>
        <w:pStyle w:val="3"/>
        <w:keepLines w:val="0"/>
        <w:pageBreakBefore w:val="0"/>
        <w:widowControl/>
        <w:kinsoku/>
        <w:wordWrap/>
        <w:overflowPunct/>
        <w:topLinePunct w:val="0"/>
        <w:autoSpaceDE/>
        <w:autoSpaceDN/>
        <w:bidi w:val="0"/>
        <w:spacing w:line="480" w:lineRule="auto"/>
        <w:textAlignment w:val="auto"/>
        <w:rPr>
          <w:rFonts w:hint="eastAsia"/>
          <w:color w:val="auto"/>
          <w:sz w:val="32"/>
          <w:szCs w:val="32"/>
          <w:highlight w:val="none"/>
          <w:lang w:val="en-US" w:eastAsia="zh-CN"/>
        </w:rPr>
      </w:pPr>
      <w:r>
        <w:rPr>
          <w:rFonts w:hint="eastAsia"/>
          <w:color w:val="auto"/>
          <w:sz w:val="32"/>
          <w:szCs w:val="32"/>
          <w:highlight w:val="none"/>
          <w:lang w:val="en-US" w:eastAsia="zh-CN"/>
        </w:rPr>
        <w:t>十七、关于投标人控股关系声明函</w:t>
      </w:r>
    </w:p>
    <w:p w14:paraId="7FB34E09">
      <w:pPr>
        <w:keepLines w:val="0"/>
        <w:pageBreakBefore w:val="0"/>
        <w:kinsoku/>
        <w:overflowPunct/>
        <w:bidi w:val="0"/>
        <w:spacing w:line="360" w:lineRule="auto"/>
        <w:rPr>
          <w:rFonts w:hint="eastAsia" w:hAnsi="宋体" w:cs="宋体"/>
          <w:color w:val="auto"/>
          <w:highlight w:val="none"/>
          <w:lang w:eastAsia="zh-CN"/>
        </w:rPr>
      </w:pPr>
    </w:p>
    <w:p w14:paraId="44D6A89F">
      <w:pPr>
        <w:keepLines w:val="0"/>
        <w:pageBreakBefore w:val="0"/>
        <w:kinsoku/>
        <w:overflowPunct/>
        <w:bidi w:val="0"/>
        <w:spacing w:line="360" w:lineRule="auto"/>
        <w:rPr>
          <w:rFonts w:hAnsi="宋体" w:cs="宋体"/>
          <w:color w:val="auto"/>
          <w:highlight w:val="none"/>
        </w:rPr>
      </w:pPr>
      <w:r>
        <w:rPr>
          <w:rFonts w:hint="eastAsia" w:hAnsi="宋体" w:cs="宋体"/>
          <w:color w:val="auto"/>
          <w:highlight w:val="none"/>
          <w:lang w:eastAsia="zh-CN"/>
        </w:rPr>
        <w:t>四川五邑招标代理有限公司</w:t>
      </w:r>
      <w:r>
        <w:rPr>
          <w:rFonts w:hint="eastAsia" w:hAnsi="宋体" w:cs="宋体"/>
          <w:color w:val="auto"/>
          <w:highlight w:val="none"/>
        </w:rPr>
        <w:t>：</w:t>
      </w:r>
    </w:p>
    <w:p w14:paraId="0142C167">
      <w:pPr>
        <w:keepLines w:val="0"/>
        <w:pageBreakBefore w:val="0"/>
        <w:kinsoku/>
        <w:overflowPunct/>
        <w:bidi w:val="0"/>
        <w:spacing w:line="360" w:lineRule="auto"/>
        <w:ind w:firstLine="482" w:firstLineChars="200"/>
        <w:rPr>
          <w:rFonts w:hint="eastAsia" w:hAnsi="宋体" w:cs="宋体"/>
          <w:b/>
          <w:bCs/>
          <w:color w:val="auto"/>
          <w:highlight w:val="none"/>
        </w:rPr>
      </w:pPr>
      <w:r>
        <w:rPr>
          <w:rFonts w:hint="eastAsia" w:hAnsi="宋体" w:cs="宋体"/>
          <w:b/>
          <w:bCs/>
          <w:color w:val="auto"/>
          <w:highlight w:val="none"/>
        </w:rPr>
        <w:t>本单位（公司名称）参加（项目名称）的投标活动，现声明：</w:t>
      </w:r>
    </w:p>
    <w:p w14:paraId="75FD4269">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除本公司外，本单位负责人为同一人或者存在直接控股、管理关系的其他供应商均未参加本项目同一合同项下的</w:t>
      </w:r>
      <w:r>
        <w:rPr>
          <w:rFonts w:hint="eastAsia" w:hAnsi="宋体" w:cs="宋体"/>
          <w:color w:val="auto"/>
          <w:highlight w:val="none"/>
          <w:lang w:eastAsia="zh-CN"/>
        </w:rPr>
        <w:t>采购活动</w:t>
      </w:r>
      <w:r>
        <w:rPr>
          <w:rFonts w:hint="eastAsia" w:hAnsi="宋体" w:cs="宋体"/>
          <w:color w:val="auto"/>
          <w:highlight w:val="none"/>
        </w:rPr>
        <w:t>。与本单位存在直接控股、管理关系的其他供应商均未参加本项目同一合同项下的</w:t>
      </w:r>
      <w:r>
        <w:rPr>
          <w:rFonts w:hint="eastAsia" w:hAnsi="宋体" w:cs="宋体"/>
          <w:color w:val="auto"/>
          <w:highlight w:val="none"/>
          <w:lang w:eastAsia="zh-CN"/>
        </w:rPr>
        <w:t>采购活动</w:t>
      </w:r>
      <w:r>
        <w:rPr>
          <w:rFonts w:hint="eastAsia" w:hAnsi="宋体" w:cs="宋体"/>
          <w:color w:val="auto"/>
          <w:highlight w:val="none"/>
        </w:rPr>
        <w:t>（仅参加资格预审例外）。</w:t>
      </w:r>
    </w:p>
    <w:p w14:paraId="1E0DFDC1">
      <w:pPr>
        <w:keepLines w:val="0"/>
        <w:pageBreakBefore w:val="0"/>
        <w:kinsoku/>
        <w:overflowPunct/>
        <w:bidi w:val="0"/>
        <w:spacing w:line="360" w:lineRule="auto"/>
        <w:ind w:firstLine="480" w:firstLineChars="200"/>
        <w:rPr>
          <w:rFonts w:hint="eastAsia" w:hAnsi="宋体" w:cs="宋体"/>
          <w:color w:val="auto"/>
          <w:highlight w:val="none"/>
        </w:rPr>
      </w:pPr>
    </w:p>
    <w:p w14:paraId="699AF64A">
      <w:pPr>
        <w:keepLines w:val="0"/>
        <w:pageBreakBefore w:val="0"/>
        <w:kinsoku/>
        <w:overflowPunct/>
        <w:bidi w:val="0"/>
        <w:spacing w:line="360" w:lineRule="auto"/>
        <w:ind w:firstLine="482" w:firstLineChars="200"/>
        <w:rPr>
          <w:rFonts w:hint="eastAsia" w:hAnsi="宋体" w:cs="宋体"/>
          <w:b/>
          <w:bCs/>
          <w:color w:val="auto"/>
          <w:highlight w:val="none"/>
        </w:rPr>
      </w:pPr>
      <w:r>
        <w:rPr>
          <w:rFonts w:hint="eastAsia" w:hAnsi="宋体" w:cs="宋体"/>
          <w:b/>
          <w:bCs/>
          <w:color w:val="auto"/>
          <w:highlight w:val="none"/>
        </w:rPr>
        <w:t>本公司对上述声明内容事项真实性负责。如经查实上述承诺声明的内容事项存在虚假或未履行，本单位愿意接受相关处罚并追究法律责任。</w:t>
      </w:r>
    </w:p>
    <w:p w14:paraId="6E17E6DE">
      <w:pPr>
        <w:keepLines w:val="0"/>
        <w:pageBreakBefore w:val="0"/>
        <w:kinsoku/>
        <w:overflowPunct/>
        <w:bidi w:val="0"/>
        <w:spacing w:line="360" w:lineRule="auto"/>
        <w:ind w:firstLine="480" w:firstLineChars="200"/>
        <w:rPr>
          <w:rFonts w:hint="eastAsia" w:hAnsi="宋体" w:cs="宋体"/>
          <w:color w:val="auto"/>
          <w:highlight w:val="none"/>
        </w:rPr>
      </w:pPr>
    </w:p>
    <w:p w14:paraId="0123E892">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注：供应商应该列明其存在直接控股、管理关系的相关供应商名单作为附件。</w:t>
      </w:r>
    </w:p>
    <w:p w14:paraId="51E9F672">
      <w:pPr>
        <w:pStyle w:val="18"/>
        <w:keepLines w:val="0"/>
        <w:pageBreakBefore w:val="0"/>
        <w:kinsoku/>
        <w:overflowPunct/>
        <w:bidi w:val="0"/>
        <w:spacing w:line="360" w:lineRule="auto"/>
        <w:ind w:firstLine="422" w:firstLineChars="200"/>
        <w:rPr>
          <w:rFonts w:hAnsi="宋体" w:cs="宋体"/>
          <w:b/>
          <w:bCs/>
          <w:color w:val="auto"/>
          <w:highlight w:val="none"/>
        </w:rPr>
      </w:pPr>
    </w:p>
    <w:p w14:paraId="0247F6C2">
      <w:pPr>
        <w:keepLines w:val="0"/>
        <w:pageBreakBefore w:val="0"/>
        <w:kinsoku/>
        <w:overflowPunct/>
        <w:bidi w:val="0"/>
        <w:spacing w:line="360" w:lineRule="auto"/>
        <w:rPr>
          <w:rFonts w:hint="eastAsia" w:hAnsi="宋体" w:cs="宋体"/>
          <w:color w:val="auto"/>
          <w:highlight w:val="none"/>
        </w:rPr>
      </w:pPr>
      <w:r>
        <w:rPr>
          <w:rFonts w:hint="eastAsia" w:hAnsi="宋体" w:cs="宋体"/>
          <w:color w:val="auto"/>
          <w:highlight w:val="none"/>
        </w:rPr>
        <w:t>投标人名称（盖单位公章）：</w:t>
      </w:r>
    </w:p>
    <w:p w14:paraId="48AF6172">
      <w:pPr>
        <w:keepLines w:val="0"/>
        <w:pageBreakBefore w:val="0"/>
        <w:kinsoku/>
        <w:overflowPunct/>
        <w:bidi w:val="0"/>
        <w:spacing w:line="360" w:lineRule="auto"/>
        <w:rPr>
          <w:rFonts w:hint="eastAsia" w:hAnsi="宋体" w:cs="宋体"/>
          <w:color w:val="auto"/>
          <w:highlight w:val="none"/>
        </w:rPr>
      </w:pPr>
      <w:r>
        <w:rPr>
          <w:rFonts w:hint="eastAsia" w:hAnsi="宋体" w:cs="宋体"/>
          <w:color w:val="auto"/>
          <w:highlight w:val="none"/>
        </w:rPr>
        <w:t>法定代表人或授权代表（签字）：</w:t>
      </w:r>
    </w:p>
    <w:p w14:paraId="5D9521FE">
      <w:pPr>
        <w:keepLines w:val="0"/>
        <w:pageBreakBefore w:val="0"/>
        <w:kinsoku/>
        <w:overflowPunct/>
        <w:bidi w:val="0"/>
        <w:spacing w:line="360" w:lineRule="auto"/>
        <w:rPr>
          <w:rFonts w:hint="eastAsia" w:hAnsi="宋体" w:cs="宋体"/>
          <w:color w:val="auto"/>
          <w:highlight w:val="none"/>
        </w:rPr>
        <w:sectPr>
          <w:headerReference r:id="rId37" w:type="first"/>
          <w:footerReference r:id="rId38" w:type="firs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hAnsi="宋体" w:cs="宋体"/>
          <w:color w:val="auto"/>
          <w:highlight w:val="none"/>
        </w:rPr>
        <w:t>日期：</w:t>
      </w:r>
    </w:p>
    <w:p w14:paraId="16B60429">
      <w:pPr>
        <w:pStyle w:val="3"/>
        <w:keepLines w:val="0"/>
        <w:pageBreakBefore w:val="0"/>
        <w:widowControl/>
        <w:kinsoku/>
        <w:wordWrap/>
        <w:overflowPunct/>
        <w:topLinePunct w:val="0"/>
        <w:autoSpaceDE/>
        <w:autoSpaceDN/>
        <w:bidi w:val="0"/>
        <w:spacing w:line="480" w:lineRule="auto"/>
        <w:textAlignment w:val="auto"/>
        <w:rPr>
          <w:rFonts w:hint="eastAsia"/>
          <w:color w:val="auto"/>
          <w:sz w:val="32"/>
          <w:szCs w:val="32"/>
          <w:highlight w:val="none"/>
          <w:lang w:val="en-US" w:eastAsia="zh-CN"/>
        </w:rPr>
      </w:pPr>
      <w:r>
        <w:rPr>
          <w:rFonts w:hint="eastAsia"/>
          <w:color w:val="auto"/>
          <w:sz w:val="32"/>
          <w:szCs w:val="32"/>
          <w:highlight w:val="none"/>
          <w:lang w:val="en-US" w:eastAsia="zh-CN"/>
        </w:rPr>
        <w:t>十八、项目方案</w:t>
      </w:r>
    </w:p>
    <w:p w14:paraId="7B245F75">
      <w:pPr>
        <w:keepLines w:val="0"/>
        <w:pageBreakBefore w:val="0"/>
        <w:kinsoku/>
        <w:overflowPunct/>
        <w:bidi w:val="0"/>
        <w:spacing w:line="360" w:lineRule="auto"/>
        <w:rPr>
          <w:rFonts w:hint="eastAsia" w:hAnsi="宋体"/>
          <w:b/>
          <w:color w:val="auto"/>
          <w:highlight w:val="none"/>
        </w:rPr>
      </w:pPr>
    </w:p>
    <w:p w14:paraId="78442314">
      <w:pPr>
        <w:keepLines w:val="0"/>
        <w:pageBreakBefore w:val="0"/>
        <w:kinsoku/>
        <w:overflowPunct/>
        <w:bidi w:val="0"/>
        <w:spacing w:line="360" w:lineRule="auto"/>
        <w:rPr>
          <w:rFonts w:hint="eastAsia" w:hAnsi="宋体"/>
          <w:b/>
          <w:color w:val="auto"/>
          <w:highlight w:val="none"/>
        </w:rPr>
      </w:pPr>
      <w:r>
        <w:rPr>
          <w:rFonts w:hint="eastAsia" w:hAnsi="宋体"/>
          <w:b/>
          <w:color w:val="auto"/>
          <w:highlight w:val="none"/>
        </w:rPr>
        <w:t>项目名称：   招标编号：</w:t>
      </w:r>
    </w:p>
    <w:p w14:paraId="3194FDED">
      <w:pPr>
        <w:pStyle w:val="18"/>
        <w:keepLines w:val="0"/>
        <w:pageBreakBefore w:val="0"/>
        <w:kinsoku/>
        <w:overflowPunct/>
        <w:bidi w:val="0"/>
        <w:spacing w:line="360" w:lineRule="auto"/>
        <w:ind w:firstLine="422" w:firstLineChars="200"/>
        <w:rPr>
          <w:rFonts w:hAnsi="宋体" w:cs="宋体"/>
          <w:b/>
          <w:bCs/>
          <w:color w:val="auto"/>
          <w:highlight w:val="none"/>
        </w:rPr>
      </w:pPr>
    </w:p>
    <w:p w14:paraId="0FE2652A">
      <w:pPr>
        <w:pStyle w:val="18"/>
        <w:keepLines w:val="0"/>
        <w:pageBreakBefore w:val="0"/>
        <w:kinsoku/>
        <w:overflowPunct/>
        <w:bidi w:val="0"/>
        <w:spacing w:line="360" w:lineRule="auto"/>
        <w:ind w:firstLine="422" w:firstLineChars="200"/>
        <w:rPr>
          <w:rFonts w:hAnsi="宋体" w:cs="宋体"/>
          <w:b/>
          <w:bCs/>
          <w:color w:val="auto"/>
          <w:highlight w:val="none"/>
        </w:rPr>
      </w:pPr>
    </w:p>
    <w:p w14:paraId="6EB49EA9">
      <w:pPr>
        <w:keepLines w:val="0"/>
        <w:pageBreakBefore w:val="0"/>
        <w:kinsoku/>
        <w:overflowPunct/>
        <w:bidi w:val="0"/>
        <w:spacing w:line="360" w:lineRule="auto"/>
        <w:ind w:firstLine="723" w:firstLineChars="200"/>
        <w:jc w:val="center"/>
        <w:rPr>
          <w:rFonts w:hint="eastAsia" w:hAnsi="宋体" w:cs="宋体"/>
          <w:b/>
          <w:bCs/>
          <w:color w:val="auto"/>
          <w:sz w:val="36"/>
          <w:szCs w:val="36"/>
          <w:highlight w:val="none"/>
        </w:rPr>
      </w:pPr>
      <w:r>
        <w:rPr>
          <w:rFonts w:hint="eastAsia" w:hAnsi="宋体" w:cs="宋体"/>
          <w:b/>
          <w:bCs/>
          <w:color w:val="auto"/>
          <w:sz w:val="36"/>
          <w:szCs w:val="36"/>
          <w:highlight w:val="none"/>
        </w:rPr>
        <w:t>（格式自拟）</w:t>
      </w:r>
    </w:p>
    <w:p w14:paraId="3F1F8F8A">
      <w:pPr>
        <w:pStyle w:val="18"/>
        <w:keepLines w:val="0"/>
        <w:pageBreakBefore w:val="0"/>
        <w:kinsoku/>
        <w:overflowPunct/>
        <w:bidi w:val="0"/>
        <w:spacing w:line="360" w:lineRule="auto"/>
        <w:ind w:firstLine="422" w:firstLineChars="200"/>
        <w:rPr>
          <w:rFonts w:hAnsi="宋体" w:cs="宋体"/>
          <w:b/>
          <w:bCs/>
          <w:color w:val="auto"/>
          <w:highlight w:val="none"/>
        </w:rPr>
      </w:pPr>
    </w:p>
    <w:p w14:paraId="0401BCD1">
      <w:pPr>
        <w:pStyle w:val="18"/>
        <w:keepLines w:val="0"/>
        <w:pageBreakBefore w:val="0"/>
        <w:kinsoku/>
        <w:overflowPunct/>
        <w:bidi w:val="0"/>
        <w:spacing w:line="360" w:lineRule="auto"/>
        <w:ind w:firstLine="422" w:firstLineChars="200"/>
        <w:rPr>
          <w:rFonts w:hAnsi="宋体" w:cs="宋体"/>
          <w:b/>
          <w:bCs/>
          <w:color w:val="auto"/>
          <w:highlight w:val="none"/>
        </w:rPr>
      </w:pPr>
    </w:p>
    <w:p w14:paraId="31D6D306">
      <w:pPr>
        <w:pStyle w:val="18"/>
        <w:keepLines w:val="0"/>
        <w:pageBreakBefore w:val="0"/>
        <w:kinsoku/>
        <w:overflowPunct/>
        <w:bidi w:val="0"/>
        <w:spacing w:line="360" w:lineRule="auto"/>
        <w:ind w:firstLine="422" w:firstLineChars="200"/>
        <w:rPr>
          <w:rFonts w:hAnsi="宋体" w:cs="宋体"/>
          <w:b/>
          <w:bCs/>
          <w:color w:val="auto"/>
          <w:highlight w:val="none"/>
        </w:rPr>
      </w:pPr>
    </w:p>
    <w:p w14:paraId="1B86E303">
      <w:pPr>
        <w:pStyle w:val="18"/>
        <w:keepLines w:val="0"/>
        <w:pageBreakBefore w:val="0"/>
        <w:kinsoku/>
        <w:overflowPunct/>
        <w:bidi w:val="0"/>
        <w:spacing w:line="360" w:lineRule="auto"/>
        <w:ind w:firstLine="422" w:firstLineChars="200"/>
        <w:rPr>
          <w:rFonts w:hAnsi="宋体" w:cs="宋体"/>
          <w:b/>
          <w:bCs/>
          <w:color w:val="auto"/>
          <w:highlight w:val="none"/>
        </w:rPr>
      </w:pPr>
    </w:p>
    <w:p w14:paraId="37A40555">
      <w:pPr>
        <w:keepLines w:val="0"/>
        <w:pageBreakBefore w:val="0"/>
        <w:kinsoku/>
        <w:overflowPunct/>
        <w:bidi w:val="0"/>
        <w:spacing w:line="360" w:lineRule="auto"/>
        <w:rPr>
          <w:rFonts w:hint="eastAsia" w:hAnsi="宋体" w:cs="宋体"/>
          <w:color w:val="auto"/>
          <w:highlight w:val="none"/>
        </w:rPr>
      </w:pPr>
      <w:r>
        <w:rPr>
          <w:rFonts w:hint="eastAsia" w:hAnsi="宋体" w:cs="宋体"/>
          <w:color w:val="auto"/>
          <w:highlight w:val="none"/>
        </w:rPr>
        <w:t>投标人名称（盖单位公章）：</w:t>
      </w:r>
    </w:p>
    <w:p w14:paraId="16340B21">
      <w:pPr>
        <w:keepLines w:val="0"/>
        <w:pageBreakBefore w:val="0"/>
        <w:kinsoku/>
        <w:overflowPunct/>
        <w:bidi w:val="0"/>
        <w:spacing w:line="360" w:lineRule="auto"/>
        <w:rPr>
          <w:rFonts w:hint="eastAsia" w:hAnsi="宋体" w:cs="宋体"/>
          <w:color w:val="auto"/>
          <w:highlight w:val="none"/>
        </w:rPr>
      </w:pPr>
      <w:r>
        <w:rPr>
          <w:rFonts w:hint="eastAsia" w:hAnsi="宋体" w:cs="宋体"/>
          <w:color w:val="auto"/>
          <w:highlight w:val="none"/>
        </w:rPr>
        <w:t>法定代表人或授权代表（签字）：</w:t>
      </w:r>
    </w:p>
    <w:p w14:paraId="0D57F889">
      <w:pPr>
        <w:keepLines w:val="0"/>
        <w:pageBreakBefore w:val="0"/>
        <w:kinsoku/>
        <w:overflowPunct/>
        <w:bidi w:val="0"/>
        <w:spacing w:line="360" w:lineRule="auto"/>
        <w:rPr>
          <w:rFonts w:hint="eastAsia" w:hAnsi="宋体" w:cs="宋体"/>
          <w:color w:val="auto"/>
          <w:highlight w:val="none"/>
        </w:rPr>
        <w:sectPr>
          <w:headerReference r:id="rId39" w:type="first"/>
          <w:footerReference r:id="rId40" w:type="firs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hAnsi="宋体" w:cs="宋体"/>
          <w:color w:val="auto"/>
          <w:highlight w:val="none"/>
        </w:rPr>
        <w:t>日期：</w:t>
      </w:r>
    </w:p>
    <w:p w14:paraId="4818A289">
      <w:pPr>
        <w:pStyle w:val="3"/>
        <w:keepLines w:val="0"/>
        <w:pageBreakBefore w:val="0"/>
        <w:widowControl/>
        <w:kinsoku/>
        <w:wordWrap/>
        <w:overflowPunct/>
        <w:topLinePunct w:val="0"/>
        <w:autoSpaceDE/>
        <w:autoSpaceDN/>
        <w:bidi w:val="0"/>
        <w:spacing w:line="480" w:lineRule="auto"/>
        <w:textAlignment w:val="auto"/>
        <w:rPr>
          <w:rFonts w:hint="eastAsia"/>
          <w:color w:val="auto"/>
          <w:sz w:val="32"/>
          <w:szCs w:val="32"/>
          <w:highlight w:val="none"/>
          <w:lang w:val="en-US" w:eastAsia="zh-CN"/>
        </w:rPr>
      </w:pPr>
      <w:r>
        <w:rPr>
          <w:rFonts w:hint="eastAsia"/>
          <w:color w:val="auto"/>
          <w:sz w:val="32"/>
          <w:szCs w:val="32"/>
          <w:highlight w:val="none"/>
          <w:lang w:val="en-US" w:eastAsia="zh-CN"/>
        </w:rPr>
        <w:t>十九、其他材料（格式自拟）</w:t>
      </w:r>
    </w:p>
    <w:p w14:paraId="5B6FAA16">
      <w:pPr>
        <w:keepLines w:val="0"/>
        <w:pageBreakBefore w:val="0"/>
        <w:kinsoku/>
        <w:overflowPunct/>
        <w:bidi w:val="0"/>
        <w:snapToGrid w:val="0"/>
        <w:spacing w:line="360" w:lineRule="auto"/>
        <w:rPr>
          <w:rFonts w:hAnsi="宋体"/>
          <w:b/>
          <w:color w:val="auto"/>
          <w:highlight w:val="none"/>
        </w:rPr>
      </w:pPr>
    </w:p>
    <w:p w14:paraId="6EE83BDA">
      <w:pPr>
        <w:keepLines w:val="0"/>
        <w:pageBreakBefore w:val="0"/>
        <w:kinsoku/>
        <w:overflowPunct/>
        <w:bidi w:val="0"/>
        <w:snapToGrid w:val="0"/>
        <w:spacing w:line="360" w:lineRule="auto"/>
        <w:rPr>
          <w:rFonts w:hAnsi="宋体"/>
          <w:b/>
          <w:color w:val="auto"/>
          <w:highlight w:val="none"/>
        </w:rPr>
      </w:pPr>
      <w:r>
        <w:rPr>
          <w:rFonts w:hint="eastAsia" w:hAnsi="宋体"/>
          <w:b/>
          <w:color w:val="auto"/>
          <w:highlight w:val="none"/>
        </w:rPr>
        <w:t>项目名称：   招标编号：</w:t>
      </w:r>
    </w:p>
    <w:p w14:paraId="29478F2E">
      <w:pPr>
        <w:pStyle w:val="18"/>
        <w:keepLines w:val="0"/>
        <w:pageBreakBefore w:val="0"/>
        <w:kinsoku/>
        <w:overflowPunct/>
        <w:bidi w:val="0"/>
        <w:spacing w:line="360" w:lineRule="auto"/>
        <w:ind w:firstLine="422" w:firstLineChars="200"/>
        <w:rPr>
          <w:rFonts w:hAnsi="宋体" w:cs="宋体"/>
          <w:b/>
          <w:bCs/>
          <w:color w:val="auto"/>
          <w:highlight w:val="none"/>
        </w:rPr>
      </w:pPr>
    </w:p>
    <w:p w14:paraId="30F9C32B">
      <w:pPr>
        <w:pStyle w:val="18"/>
        <w:keepLines w:val="0"/>
        <w:pageBreakBefore w:val="0"/>
        <w:kinsoku/>
        <w:overflowPunct/>
        <w:bidi w:val="0"/>
        <w:spacing w:line="360" w:lineRule="auto"/>
        <w:ind w:firstLine="422" w:firstLineChars="200"/>
        <w:rPr>
          <w:rFonts w:hAnsi="宋体" w:cs="宋体"/>
          <w:b/>
          <w:bCs/>
          <w:color w:val="auto"/>
          <w:highlight w:val="none"/>
        </w:rPr>
      </w:pPr>
    </w:p>
    <w:p w14:paraId="185A9BD6">
      <w:pPr>
        <w:pStyle w:val="18"/>
        <w:keepLines w:val="0"/>
        <w:pageBreakBefore w:val="0"/>
        <w:kinsoku/>
        <w:overflowPunct/>
        <w:bidi w:val="0"/>
        <w:spacing w:line="360" w:lineRule="auto"/>
        <w:ind w:firstLine="422" w:firstLineChars="200"/>
        <w:rPr>
          <w:rFonts w:hAnsi="宋体" w:cs="宋体"/>
          <w:b/>
          <w:bCs/>
          <w:color w:val="auto"/>
          <w:highlight w:val="none"/>
        </w:rPr>
      </w:pPr>
    </w:p>
    <w:p w14:paraId="5E14F7DB">
      <w:pPr>
        <w:pStyle w:val="18"/>
        <w:keepLines w:val="0"/>
        <w:pageBreakBefore w:val="0"/>
        <w:kinsoku/>
        <w:overflowPunct/>
        <w:bidi w:val="0"/>
        <w:spacing w:line="360" w:lineRule="auto"/>
        <w:ind w:firstLine="422" w:firstLineChars="200"/>
        <w:rPr>
          <w:rFonts w:hAnsi="宋体" w:cs="宋体"/>
          <w:b/>
          <w:bCs/>
          <w:color w:val="auto"/>
          <w:highlight w:val="none"/>
        </w:rPr>
      </w:pPr>
    </w:p>
    <w:p w14:paraId="772BC970">
      <w:pPr>
        <w:keepLines w:val="0"/>
        <w:pageBreakBefore w:val="0"/>
        <w:kinsoku/>
        <w:overflowPunct/>
        <w:bidi w:val="0"/>
        <w:spacing w:after="60" w:line="360" w:lineRule="auto"/>
        <w:jc w:val="center"/>
        <w:rPr>
          <w:rFonts w:hAnsi="宋体"/>
          <w:b/>
          <w:color w:val="auto"/>
          <w:sz w:val="32"/>
          <w:szCs w:val="32"/>
          <w:highlight w:val="none"/>
        </w:rPr>
      </w:pPr>
      <w:r>
        <w:rPr>
          <w:rFonts w:hint="eastAsia" w:hAnsi="宋体"/>
          <w:b/>
          <w:color w:val="auto"/>
          <w:sz w:val="32"/>
          <w:szCs w:val="32"/>
          <w:highlight w:val="none"/>
        </w:rPr>
        <w:t>（格式自拟）</w:t>
      </w:r>
    </w:p>
    <w:p w14:paraId="60857A51">
      <w:pPr>
        <w:pStyle w:val="18"/>
        <w:keepLines w:val="0"/>
        <w:pageBreakBefore w:val="0"/>
        <w:kinsoku/>
        <w:overflowPunct/>
        <w:bidi w:val="0"/>
        <w:spacing w:line="360" w:lineRule="auto"/>
        <w:ind w:firstLine="422" w:firstLineChars="200"/>
        <w:rPr>
          <w:rFonts w:hAnsi="宋体" w:cs="宋体"/>
          <w:b/>
          <w:bCs/>
          <w:color w:val="auto"/>
          <w:highlight w:val="none"/>
        </w:rPr>
      </w:pPr>
    </w:p>
    <w:p w14:paraId="45D14AFB">
      <w:pPr>
        <w:pStyle w:val="18"/>
        <w:keepLines w:val="0"/>
        <w:pageBreakBefore w:val="0"/>
        <w:kinsoku/>
        <w:overflowPunct/>
        <w:bidi w:val="0"/>
        <w:spacing w:line="360" w:lineRule="auto"/>
        <w:ind w:firstLine="420" w:firstLineChars="200"/>
        <w:rPr>
          <w:color w:val="auto"/>
          <w:highlight w:val="none"/>
        </w:rPr>
      </w:pPr>
    </w:p>
    <w:p w14:paraId="18621C36">
      <w:pPr>
        <w:pStyle w:val="18"/>
        <w:keepLines w:val="0"/>
        <w:pageBreakBefore w:val="0"/>
        <w:kinsoku/>
        <w:overflowPunct/>
        <w:bidi w:val="0"/>
        <w:spacing w:line="360" w:lineRule="auto"/>
        <w:ind w:firstLine="422" w:firstLineChars="200"/>
        <w:rPr>
          <w:rFonts w:hAnsi="宋体" w:cs="宋体"/>
          <w:b/>
          <w:bCs/>
          <w:color w:val="auto"/>
          <w:highlight w:val="none"/>
        </w:rPr>
      </w:pPr>
    </w:p>
    <w:bookmarkEnd w:id="142"/>
    <w:p w14:paraId="22129B39">
      <w:pPr>
        <w:keepLines w:val="0"/>
        <w:pageBreakBefore w:val="0"/>
        <w:kinsoku/>
        <w:overflowPunct/>
        <w:bidi w:val="0"/>
        <w:spacing w:line="360" w:lineRule="auto"/>
        <w:rPr>
          <w:rFonts w:hint="eastAsia" w:hAnsi="宋体" w:cs="宋体"/>
          <w:color w:val="auto"/>
          <w:highlight w:val="none"/>
        </w:rPr>
      </w:pPr>
      <w:bookmarkStart w:id="143" w:name="_Toc1392"/>
      <w:bookmarkStart w:id="144" w:name="_Toc10194"/>
      <w:r>
        <w:rPr>
          <w:rFonts w:hint="eastAsia" w:hAnsi="宋体" w:cs="宋体"/>
          <w:color w:val="auto"/>
          <w:highlight w:val="none"/>
        </w:rPr>
        <w:t>投标人名称（盖单位公章）：</w:t>
      </w:r>
    </w:p>
    <w:p w14:paraId="428F077E">
      <w:pPr>
        <w:keepLines w:val="0"/>
        <w:pageBreakBefore w:val="0"/>
        <w:kinsoku/>
        <w:overflowPunct/>
        <w:bidi w:val="0"/>
        <w:spacing w:line="360" w:lineRule="auto"/>
        <w:rPr>
          <w:rFonts w:hint="eastAsia" w:hAnsi="宋体" w:cs="宋体"/>
          <w:color w:val="auto"/>
          <w:highlight w:val="none"/>
        </w:rPr>
      </w:pPr>
      <w:r>
        <w:rPr>
          <w:rFonts w:hint="eastAsia" w:hAnsi="宋体" w:cs="宋体"/>
          <w:color w:val="auto"/>
          <w:highlight w:val="none"/>
        </w:rPr>
        <w:t>法定代表人或授权代表（签字）：</w:t>
      </w:r>
    </w:p>
    <w:p w14:paraId="064C841D">
      <w:pPr>
        <w:keepLines w:val="0"/>
        <w:pageBreakBefore w:val="0"/>
        <w:kinsoku/>
        <w:overflowPunct/>
        <w:bidi w:val="0"/>
        <w:spacing w:line="360" w:lineRule="auto"/>
        <w:rPr>
          <w:rFonts w:hint="eastAsia" w:hAnsi="宋体" w:cs="宋体"/>
          <w:color w:val="auto"/>
          <w:highlight w:val="none"/>
        </w:rPr>
        <w:sectPr>
          <w:headerReference r:id="rId41" w:type="first"/>
          <w:footerReference r:id="rId42" w:type="firs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r>
        <w:rPr>
          <w:rFonts w:hint="eastAsia" w:hAnsi="宋体" w:cs="宋体"/>
          <w:color w:val="auto"/>
          <w:highlight w:val="none"/>
        </w:rPr>
        <w:t>日期：</w:t>
      </w:r>
    </w:p>
    <w:p w14:paraId="3A80F6D9">
      <w:pPr>
        <w:pStyle w:val="2"/>
        <w:keepLines w:val="0"/>
        <w:pageBreakBefore w:val="0"/>
        <w:kinsoku/>
        <w:overflowPunct/>
        <w:bidi w:val="0"/>
        <w:spacing w:line="360" w:lineRule="auto"/>
        <w:jc w:val="center"/>
        <w:rPr>
          <w:rFonts w:hint="eastAsia" w:ascii="Cambria" w:hAnsi="Cambria" w:eastAsia="宋体" w:cs="Times New Roman"/>
          <w:b/>
          <w:bCs/>
          <w:color w:val="auto"/>
          <w:kern w:val="32"/>
          <w:sz w:val="32"/>
          <w:szCs w:val="32"/>
          <w:highlight w:val="none"/>
          <w:lang w:val="en-US" w:eastAsia="zh-CN" w:bidi="ar-SA"/>
        </w:rPr>
      </w:pPr>
      <w:bookmarkStart w:id="145" w:name="_Toc29319"/>
      <w:r>
        <w:rPr>
          <w:rFonts w:hint="eastAsia" w:ascii="Cambria" w:hAnsi="Cambria" w:eastAsia="宋体" w:cs="Times New Roman"/>
          <w:b/>
          <w:bCs/>
          <w:color w:val="auto"/>
          <w:kern w:val="32"/>
          <w:sz w:val="32"/>
          <w:szCs w:val="32"/>
          <w:highlight w:val="none"/>
          <w:lang w:val="en-US" w:eastAsia="zh-CN" w:bidi="ar-SA"/>
        </w:rPr>
        <w:t>第四章、投标人和投标产品的资格、资质性及其他类似效力要求</w:t>
      </w:r>
      <w:bookmarkEnd w:id="143"/>
      <w:bookmarkEnd w:id="144"/>
      <w:bookmarkEnd w:id="145"/>
    </w:p>
    <w:p w14:paraId="45366A18">
      <w:pPr>
        <w:keepLines w:val="0"/>
        <w:pageBreakBefore w:val="0"/>
        <w:kinsoku/>
        <w:overflowPunct/>
        <w:bidi w:val="0"/>
        <w:spacing w:line="360" w:lineRule="auto"/>
        <w:rPr>
          <w:rFonts w:hint="eastAsia" w:hAnsi="宋体" w:cs="宋体"/>
          <w:b/>
          <w:bCs/>
          <w:color w:val="auto"/>
          <w:highlight w:val="none"/>
        </w:rPr>
      </w:pPr>
      <w:r>
        <w:rPr>
          <w:rFonts w:hint="eastAsia" w:hAnsi="宋体" w:cs="宋体"/>
          <w:b/>
          <w:bCs/>
          <w:color w:val="auto"/>
          <w:highlight w:val="none"/>
          <w:lang w:eastAsia="zh-CN"/>
        </w:rPr>
        <w:t>一、</w:t>
      </w:r>
      <w:r>
        <w:rPr>
          <w:rFonts w:hint="eastAsia" w:hAnsi="宋体" w:cs="宋体"/>
          <w:b/>
          <w:bCs/>
          <w:color w:val="auto"/>
          <w:highlight w:val="none"/>
        </w:rPr>
        <w:t>投标人资格、资质性及其他类似效力要求</w:t>
      </w:r>
    </w:p>
    <w:p w14:paraId="6D8763AF">
      <w:pPr>
        <w:keepLines w:val="0"/>
        <w:pageBreakBefore w:val="0"/>
        <w:kinsoku/>
        <w:overflowPunct/>
        <w:bidi w:val="0"/>
        <w:spacing w:line="360" w:lineRule="auto"/>
        <w:rPr>
          <w:rFonts w:hint="eastAsia" w:hAnsi="宋体" w:cs="宋体"/>
          <w:b/>
          <w:bCs/>
          <w:color w:val="auto"/>
          <w:highlight w:val="none"/>
        </w:rPr>
      </w:pPr>
      <w:r>
        <w:rPr>
          <w:rFonts w:hint="eastAsia" w:hAnsi="宋体" w:cs="宋体"/>
          <w:b/>
          <w:bCs/>
          <w:color w:val="auto"/>
          <w:highlight w:val="none"/>
        </w:rPr>
        <w:t>（一）投标人应具备以下基本条件：：</w:t>
      </w:r>
    </w:p>
    <w:p w14:paraId="68C13474">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lang w:val="en-US" w:eastAsia="zh-CN"/>
        </w:rPr>
        <w:t>1.</w:t>
      </w:r>
      <w:r>
        <w:rPr>
          <w:rFonts w:hint="eastAsia" w:hAnsi="宋体" w:cs="宋体"/>
          <w:color w:val="auto"/>
          <w:highlight w:val="none"/>
        </w:rPr>
        <w:t>具有独立承担民事责任的能力；</w:t>
      </w:r>
    </w:p>
    <w:p w14:paraId="24A3088F">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lang w:val="en-US" w:eastAsia="zh-CN"/>
        </w:rPr>
        <w:t>2.</w:t>
      </w:r>
      <w:r>
        <w:rPr>
          <w:rFonts w:hint="eastAsia" w:hAnsi="宋体" w:cs="宋体"/>
          <w:color w:val="auto"/>
          <w:highlight w:val="none"/>
        </w:rPr>
        <w:t>具有良好的商业信誉和健全的财务会计制度；</w:t>
      </w:r>
    </w:p>
    <w:p w14:paraId="1A98C086">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lang w:val="en-US" w:eastAsia="zh-CN"/>
        </w:rPr>
        <w:t>3.</w:t>
      </w:r>
      <w:r>
        <w:rPr>
          <w:rFonts w:hint="eastAsia" w:hAnsi="宋体" w:cs="宋体"/>
          <w:color w:val="auto"/>
          <w:highlight w:val="none"/>
        </w:rPr>
        <w:t>具有履行合同所必需的设备和专业技术能力；</w:t>
      </w:r>
    </w:p>
    <w:p w14:paraId="77EBA02A">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lang w:val="en-US" w:eastAsia="zh-CN"/>
        </w:rPr>
        <w:t>4.</w:t>
      </w:r>
      <w:r>
        <w:rPr>
          <w:rFonts w:hint="eastAsia" w:hAnsi="宋体" w:cs="宋体"/>
          <w:color w:val="auto"/>
          <w:highlight w:val="none"/>
        </w:rPr>
        <w:t>有依法缴纳税收和社会保障资金的良好记录；</w:t>
      </w:r>
    </w:p>
    <w:p w14:paraId="15AC46E4">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lang w:val="en-US" w:eastAsia="zh-CN"/>
        </w:rPr>
        <w:t>5.</w:t>
      </w:r>
      <w:r>
        <w:rPr>
          <w:rFonts w:hint="eastAsia" w:hAnsi="宋体" w:cs="宋体"/>
          <w:color w:val="auto"/>
          <w:highlight w:val="none"/>
        </w:rPr>
        <w:t>参加</w:t>
      </w:r>
      <w:r>
        <w:rPr>
          <w:rFonts w:hint="eastAsia" w:hAnsi="宋体" w:cs="宋体"/>
          <w:color w:val="auto"/>
          <w:highlight w:val="none"/>
          <w:lang w:eastAsia="zh-CN"/>
        </w:rPr>
        <w:t>采购活动</w:t>
      </w:r>
      <w:r>
        <w:rPr>
          <w:rFonts w:hint="eastAsia" w:hAnsi="宋体" w:cs="宋体"/>
          <w:color w:val="auto"/>
          <w:highlight w:val="none"/>
        </w:rPr>
        <w:t>前三年内，在经营活动中没有重大违法记录；</w:t>
      </w:r>
    </w:p>
    <w:p w14:paraId="04034CC8">
      <w:pPr>
        <w:keepLines w:val="0"/>
        <w:pageBreakBefore w:val="0"/>
        <w:kinsoku/>
        <w:overflowPunct/>
        <w:bidi w:val="0"/>
        <w:spacing w:line="360" w:lineRule="auto"/>
        <w:ind w:firstLine="480" w:firstLineChars="200"/>
        <w:rPr>
          <w:rFonts w:hAnsi="宋体" w:cs="宋体"/>
          <w:color w:val="auto"/>
          <w:highlight w:val="none"/>
        </w:rPr>
      </w:pPr>
      <w:r>
        <w:rPr>
          <w:rFonts w:hint="eastAsia" w:hAnsi="宋体" w:cs="宋体"/>
          <w:color w:val="auto"/>
          <w:highlight w:val="none"/>
          <w:lang w:val="en-US" w:eastAsia="zh-CN"/>
        </w:rPr>
        <w:t>6.</w:t>
      </w:r>
      <w:r>
        <w:rPr>
          <w:rFonts w:hint="eastAsia" w:hAnsi="宋体" w:cs="宋体"/>
          <w:color w:val="auto"/>
          <w:highlight w:val="none"/>
        </w:rPr>
        <w:t>法律、行政法规规定的其他条件。</w:t>
      </w:r>
    </w:p>
    <w:p w14:paraId="159125A1">
      <w:pPr>
        <w:keepLines w:val="0"/>
        <w:pageBreakBefore w:val="0"/>
        <w:kinsoku/>
        <w:overflowPunct/>
        <w:bidi w:val="0"/>
        <w:spacing w:line="360" w:lineRule="auto"/>
        <w:rPr>
          <w:rFonts w:hint="eastAsia" w:hAnsi="宋体" w:cs="宋体"/>
          <w:b/>
          <w:bCs/>
          <w:color w:val="auto"/>
          <w:highlight w:val="none"/>
        </w:rPr>
      </w:pPr>
      <w:r>
        <w:rPr>
          <w:rFonts w:hint="eastAsia" w:hAnsi="宋体" w:cs="宋体"/>
          <w:b/>
          <w:bCs/>
          <w:color w:val="auto"/>
          <w:highlight w:val="none"/>
        </w:rPr>
        <w:t>（二）根据采购项目提出的特殊条件：</w:t>
      </w:r>
    </w:p>
    <w:p w14:paraId="03143409">
      <w:pPr>
        <w:keepLines w:val="0"/>
        <w:pageBreakBefore w:val="0"/>
        <w:kinsoku/>
        <w:overflowPunct/>
        <w:bidi w:val="0"/>
        <w:spacing w:line="360" w:lineRule="auto"/>
        <w:ind w:firstLine="720" w:firstLineChars="300"/>
        <w:rPr>
          <w:rFonts w:hint="eastAsia" w:hAnsi="宋体" w:cs="宋体"/>
          <w:color w:val="auto"/>
          <w:highlight w:val="none"/>
        </w:rPr>
      </w:pPr>
      <w:r>
        <w:rPr>
          <w:rFonts w:hint="eastAsia" w:hAnsi="宋体" w:cs="宋体"/>
          <w:color w:val="auto"/>
          <w:highlight w:val="none"/>
        </w:rPr>
        <w:t>本项目不接受联合体投标。</w:t>
      </w:r>
    </w:p>
    <w:p w14:paraId="25CF1AF8">
      <w:pPr>
        <w:keepLines w:val="0"/>
        <w:pageBreakBefore w:val="0"/>
        <w:kinsoku/>
        <w:overflowPunct/>
        <w:bidi w:val="0"/>
        <w:spacing w:line="360" w:lineRule="auto"/>
        <w:rPr>
          <w:rFonts w:hint="eastAsia" w:hAnsi="宋体" w:cs="宋体"/>
          <w:b/>
          <w:bCs/>
          <w:color w:val="auto"/>
          <w:highlight w:val="none"/>
        </w:rPr>
      </w:pPr>
      <w:r>
        <w:rPr>
          <w:rFonts w:hint="eastAsia" w:hAnsi="宋体" w:cs="宋体"/>
          <w:b/>
          <w:bCs/>
          <w:color w:val="auto"/>
          <w:highlight w:val="none"/>
        </w:rPr>
        <w:t>（三）其他类似效力要求：</w:t>
      </w:r>
      <w:r>
        <w:rPr>
          <w:rFonts w:hint="eastAsia" w:hAnsi="宋体" w:cs="宋体"/>
          <w:b w:val="0"/>
          <w:bCs w:val="0"/>
          <w:color w:val="auto"/>
          <w:highlight w:val="none"/>
        </w:rPr>
        <w:t>投标供应商法定代表人授权参加本次投标活动的合法代表（非独立法人机构提供具有独立承担民事责任的能力的负责人授权参加本次投标活动的合法代表）</w:t>
      </w:r>
      <w:r>
        <w:rPr>
          <w:rFonts w:hint="eastAsia" w:hAnsi="宋体" w:cs="宋体"/>
          <w:b/>
          <w:bCs/>
          <w:color w:val="auto"/>
          <w:highlight w:val="none"/>
        </w:rPr>
        <w:t>。</w:t>
      </w:r>
    </w:p>
    <w:p w14:paraId="6AA39C80">
      <w:pPr>
        <w:keepLines w:val="0"/>
        <w:pageBreakBefore w:val="0"/>
        <w:kinsoku/>
        <w:overflowPunct/>
        <w:bidi w:val="0"/>
        <w:spacing w:line="360" w:lineRule="auto"/>
        <w:rPr>
          <w:rFonts w:hint="eastAsia" w:hAnsi="宋体" w:cs="宋体"/>
          <w:b/>
          <w:bCs/>
          <w:color w:val="auto"/>
          <w:highlight w:val="none"/>
        </w:rPr>
      </w:pPr>
      <w:r>
        <w:rPr>
          <w:rFonts w:hint="eastAsia" w:hAnsi="宋体" w:cs="宋体"/>
          <w:b/>
          <w:bCs/>
          <w:color w:val="auto"/>
          <w:highlight w:val="none"/>
        </w:rPr>
        <w:t>二、投标产品的资格、资质性及其他类似效力要求</w:t>
      </w:r>
    </w:p>
    <w:p w14:paraId="65CC1056">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hAnsi="宋体"/>
          <w:color w:val="auto"/>
          <w:highlight w:val="none"/>
          <w:lang w:eastAsia="zh-CN"/>
        </w:rPr>
      </w:pPr>
      <w:r>
        <w:rPr>
          <w:rFonts w:hint="eastAsia" w:hAnsi="宋体"/>
          <w:color w:val="auto"/>
          <w:highlight w:val="none"/>
          <w:lang w:eastAsia="zh-CN"/>
        </w:rPr>
        <w:t>无。</w:t>
      </w:r>
    </w:p>
    <w:p w14:paraId="11829795">
      <w:pPr>
        <w:keepLines w:val="0"/>
        <w:pageBreakBefore w:val="0"/>
        <w:kinsoku/>
        <w:overflowPunct/>
        <w:bidi w:val="0"/>
        <w:spacing w:line="360" w:lineRule="auto"/>
        <w:rPr>
          <w:rFonts w:hint="eastAsia" w:hAnsi="宋体" w:cs="宋体"/>
          <w:b/>
          <w:bCs/>
          <w:color w:val="auto"/>
          <w:sz w:val="21"/>
          <w:szCs w:val="21"/>
          <w:highlight w:val="none"/>
        </w:rPr>
      </w:pPr>
    </w:p>
    <w:p w14:paraId="25CD8E6D">
      <w:pPr>
        <w:keepLines w:val="0"/>
        <w:pageBreakBefore w:val="0"/>
        <w:kinsoku/>
        <w:overflowPunct/>
        <w:bidi w:val="0"/>
        <w:spacing w:line="360" w:lineRule="auto"/>
        <w:rPr>
          <w:rFonts w:hAnsi="宋体" w:cs="宋体"/>
          <w:b/>
          <w:bCs/>
          <w:color w:val="auto"/>
          <w:sz w:val="21"/>
          <w:szCs w:val="21"/>
          <w:highlight w:val="none"/>
        </w:rPr>
      </w:pPr>
      <w:r>
        <w:rPr>
          <w:rFonts w:hint="eastAsia" w:hAnsi="宋体" w:cs="宋体"/>
          <w:b/>
          <w:bCs/>
          <w:color w:val="auto"/>
          <w:sz w:val="21"/>
          <w:szCs w:val="21"/>
          <w:highlight w:val="none"/>
        </w:rPr>
        <w:t>注：</w:t>
      </w:r>
    </w:p>
    <w:p w14:paraId="2B4EFE02">
      <w:pPr>
        <w:keepLines w:val="0"/>
        <w:pageBreakBefore w:val="0"/>
        <w:kinsoku/>
        <w:overflowPunct/>
        <w:bidi w:val="0"/>
        <w:spacing w:line="360" w:lineRule="auto"/>
        <w:rPr>
          <w:rFonts w:hint="eastAsia" w:hAnsi="宋体" w:cs="宋体"/>
          <w:b/>
          <w:bCs/>
          <w:color w:val="auto"/>
          <w:sz w:val="21"/>
          <w:szCs w:val="21"/>
          <w:highlight w:val="none"/>
        </w:rPr>
        <w:sectPr>
          <w:headerReference r:id="rId44" w:type="first"/>
          <w:footerReference r:id="rId46" w:type="first"/>
          <w:footerReference r:id="rId45" w:type="default"/>
          <w:headerReference r:id="rId43" w:type="even"/>
          <w:pgSz w:w="11907" w:h="16840"/>
          <w:pgMar w:top="1440" w:right="1080" w:bottom="1440" w:left="1080" w:header="851" w:footer="992" w:gutter="0"/>
          <w:pgBorders>
            <w:top w:val="none" w:sz="0" w:space="0"/>
            <w:left w:val="none" w:sz="0" w:space="0"/>
            <w:bottom w:val="none" w:sz="0" w:space="0"/>
            <w:right w:val="none" w:sz="0" w:space="0"/>
          </w:pgBorders>
          <w:pgNumType w:fmt="decimal"/>
          <w:cols w:space="720" w:num="1"/>
          <w:titlePg/>
          <w:docGrid w:linePitch="326" w:charSpace="0"/>
        </w:sectPr>
      </w:pPr>
      <w:r>
        <w:rPr>
          <w:rFonts w:hint="eastAsia" w:hAnsi="宋体" w:cs="宋体"/>
          <w:b/>
          <w:bCs/>
          <w:color w:val="auto"/>
          <w:sz w:val="21"/>
          <w:szCs w:val="21"/>
          <w:highlight w:val="none"/>
        </w:rPr>
        <w:t>1、</w:t>
      </w:r>
      <w:bookmarkStart w:id="146" w:name="_Toc12281"/>
      <w:bookmarkStart w:id="147" w:name="_Toc21378"/>
      <w:r>
        <w:rPr>
          <w:rFonts w:hint="eastAsia" w:hAnsi="宋体" w:cs="宋体"/>
          <w:b/>
          <w:bCs/>
          <w:color w:val="auto"/>
          <w:sz w:val="21"/>
          <w:szCs w:val="21"/>
          <w:highlight w:val="none"/>
        </w:rPr>
        <w:t>重大违法记录中的较大数额罚款的具体金额标准，根据财政部关于《中华人民共和国政府采购法实施条例》第十九条第一款“较大数额罚款”具体适用问题的意见（财库〔2022〕3号）的规定，认定为200万元以上的罚款，法律、行政法规以及国务院有关部门明确规定相关领域“较大数额罚款”标准高于200万元的，从其规定。本项目确定供应商经营活动中重大违法记录中较大数额罚款的金额标准为：200万元。</w:t>
      </w:r>
    </w:p>
    <w:p w14:paraId="4A7E57D1">
      <w:pPr>
        <w:pStyle w:val="2"/>
        <w:keepLines w:val="0"/>
        <w:pageBreakBefore w:val="0"/>
        <w:kinsoku/>
        <w:overflowPunct/>
        <w:bidi w:val="0"/>
        <w:spacing w:line="360" w:lineRule="auto"/>
        <w:jc w:val="center"/>
        <w:rPr>
          <w:rFonts w:hint="eastAsia" w:ascii="Cambria" w:hAnsi="Cambria" w:eastAsia="宋体" w:cs="Times New Roman"/>
          <w:b/>
          <w:bCs/>
          <w:color w:val="auto"/>
          <w:kern w:val="32"/>
          <w:sz w:val="32"/>
          <w:szCs w:val="32"/>
          <w:highlight w:val="none"/>
          <w:lang w:val="en-US" w:eastAsia="zh-CN" w:bidi="ar-SA"/>
        </w:rPr>
      </w:pPr>
      <w:bookmarkStart w:id="148" w:name="_Toc28092"/>
      <w:r>
        <w:rPr>
          <w:rFonts w:hint="eastAsia" w:ascii="Cambria" w:hAnsi="Cambria" w:eastAsia="宋体" w:cs="Times New Roman"/>
          <w:b/>
          <w:bCs/>
          <w:color w:val="auto"/>
          <w:kern w:val="32"/>
          <w:sz w:val="32"/>
          <w:szCs w:val="32"/>
          <w:highlight w:val="none"/>
          <w:lang w:val="en-US" w:eastAsia="zh-CN" w:bidi="ar-SA"/>
        </w:rPr>
        <w:t>第五章 投标人应当提供的资格、资质性及其他类似效力要求的相关证明材料</w:t>
      </w:r>
      <w:bookmarkEnd w:id="146"/>
      <w:bookmarkEnd w:id="147"/>
      <w:bookmarkEnd w:id="148"/>
    </w:p>
    <w:p w14:paraId="374E4FA6">
      <w:pPr>
        <w:keepLines w:val="0"/>
        <w:pageBreakBefore w:val="0"/>
        <w:kinsoku/>
        <w:overflowPunct/>
        <w:bidi w:val="0"/>
        <w:spacing w:line="360" w:lineRule="auto"/>
        <w:rPr>
          <w:rFonts w:hint="eastAsia" w:hAnsi="宋体" w:cs="宋体"/>
          <w:b/>
          <w:bCs/>
          <w:color w:val="auto"/>
          <w:highlight w:val="none"/>
        </w:rPr>
      </w:pPr>
      <w:r>
        <w:rPr>
          <w:rFonts w:hint="eastAsia" w:hAnsi="宋体" w:cs="宋体"/>
          <w:b/>
          <w:bCs/>
          <w:color w:val="auto"/>
          <w:highlight w:val="none"/>
          <w:lang w:eastAsia="zh-CN"/>
        </w:rPr>
        <w:t>一、</w:t>
      </w:r>
      <w:r>
        <w:rPr>
          <w:rFonts w:hint="eastAsia" w:hAnsi="宋体" w:cs="宋体"/>
          <w:b/>
          <w:bCs/>
          <w:color w:val="auto"/>
          <w:highlight w:val="none"/>
        </w:rPr>
        <w:t>投标人应当提供的资格、资质性文件及其他类似效力的要求的相关证明材料</w:t>
      </w:r>
    </w:p>
    <w:p w14:paraId="40D520CB">
      <w:pPr>
        <w:keepLines w:val="0"/>
        <w:pageBreakBefore w:val="0"/>
        <w:kinsoku/>
        <w:overflowPunct/>
        <w:bidi w:val="0"/>
        <w:spacing w:line="360" w:lineRule="auto"/>
        <w:rPr>
          <w:rFonts w:hint="eastAsia" w:hAnsi="宋体" w:cs="宋体"/>
          <w:b/>
          <w:bCs/>
          <w:color w:val="auto"/>
          <w:highlight w:val="none"/>
        </w:rPr>
      </w:pPr>
      <w:r>
        <w:rPr>
          <w:rFonts w:hint="eastAsia" w:hAnsi="宋体" w:cs="宋体"/>
          <w:b/>
          <w:bCs/>
          <w:color w:val="auto"/>
          <w:highlight w:val="none"/>
        </w:rPr>
        <w:t>（一）投标人应具备以下基本条件：</w:t>
      </w:r>
    </w:p>
    <w:p w14:paraId="61DB5ED7">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hAnsi="宋体" w:cs="宋体"/>
          <w:b/>
          <w:bCs/>
          <w:color w:val="auto"/>
          <w:highlight w:val="none"/>
        </w:rPr>
      </w:pPr>
      <w:bookmarkStart w:id="149" w:name="_Toc320624222"/>
      <w:bookmarkEnd w:id="149"/>
      <w:bookmarkStart w:id="150" w:name="_Toc320624219"/>
      <w:bookmarkEnd w:id="150"/>
      <w:bookmarkStart w:id="151" w:name="_Toc320624213"/>
      <w:bookmarkEnd w:id="151"/>
      <w:bookmarkStart w:id="152" w:name="_Toc320624223"/>
      <w:bookmarkEnd w:id="152"/>
      <w:bookmarkStart w:id="153" w:name="_Toc320624224"/>
      <w:bookmarkEnd w:id="153"/>
      <w:bookmarkStart w:id="154" w:name="_Toc320624217"/>
      <w:bookmarkEnd w:id="154"/>
      <w:bookmarkStart w:id="155" w:name="_Toc320624218"/>
      <w:bookmarkEnd w:id="155"/>
      <w:bookmarkStart w:id="156" w:name="_Toc320624220"/>
      <w:bookmarkEnd w:id="156"/>
      <w:bookmarkStart w:id="157" w:name="_Toc320624212"/>
      <w:bookmarkEnd w:id="157"/>
      <w:bookmarkStart w:id="158" w:name="_Toc320624221"/>
      <w:bookmarkEnd w:id="158"/>
      <w:bookmarkStart w:id="159" w:name="_Toc320624216"/>
      <w:bookmarkEnd w:id="159"/>
      <w:bookmarkStart w:id="160" w:name="_Toc320624215"/>
      <w:bookmarkEnd w:id="160"/>
      <w:bookmarkStart w:id="161" w:name="_Toc320624214"/>
      <w:bookmarkEnd w:id="161"/>
      <w:r>
        <w:rPr>
          <w:rFonts w:hint="eastAsia" w:hAnsi="宋体" w:cs="宋体"/>
          <w:b/>
          <w:bCs/>
          <w:color w:val="auto"/>
          <w:highlight w:val="none"/>
        </w:rPr>
        <w:t>1</w:t>
      </w:r>
      <w:r>
        <w:rPr>
          <w:rFonts w:hint="eastAsia" w:hAnsi="宋体" w:cs="宋体"/>
          <w:b/>
          <w:bCs/>
          <w:color w:val="auto"/>
          <w:highlight w:val="none"/>
          <w:lang w:val="en-US" w:eastAsia="zh-CN"/>
        </w:rPr>
        <w:t>.</w:t>
      </w:r>
      <w:r>
        <w:rPr>
          <w:rFonts w:hint="eastAsia" w:hAnsi="宋体" w:cs="宋体"/>
          <w:b/>
          <w:bCs/>
          <w:color w:val="auto"/>
          <w:highlight w:val="none"/>
        </w:rPr>
        <w:t>具有独立承担民事责任的能力提供以下证明材料：</w:t>
      </w:r>
    </w:p>
    <w:p w14:paraId="360EF15B">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（1）独立法人机构提供下述证明材料：</w:t>
      </w:r>
    </w:p>
    <w:p w14:paraId="35B5E185">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营业执照副本复印件（注：①在有效期内；②具有独立法人资格；）或工商部门新颁发的营业执照复印件（有效期内）。</w:t>
      </w:r>
    </w:p>
    <w:p w14:paraId="19A86CC6">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（2）其他组织或自然人提供具有承担民事责任的能力的证明材料复印件；</w:t>
      </w:r>
    </w:p>
    <w:p w14:paraId="6D483DFF">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hAnsi="宋体" w:cs="宋体"/>
          <w:b/>
          <w:bCs/>
          <w:color w:val="auto"/>
          <w:highlight w:val="none"/>
        </w:rPr>
      </w:pPr>
      <w:r>
        <w:rPr>
          <w:rFonts w:hint="eastAsia" w:hAnsi="宋体" w:cs="宋体"/>
          <w:b/>
          <w:bCs/>
          <w:color w:val="auto"/>
          <w:highlight w:val="none"/>
        </w:rPr>
        <w:t>2</w:t>
      </w:r>
      <w:r>
        <w:rPr>
          <w:rFonts w:hint="eastAsia" w:hAnsi="宋体" w:cs="宋体"/>
          <w:b/>
          <w:bCs/>
          <w:color w:val="auto"/>
          <w:highlight w:val="none"/>
          <w:lang w:val="en-US" w:eastAsia="zh-CN"/>
        </w:rPr>
        <w:t>.</w:t>
      </w:r>
      <w:r>
        <w:rPr>
          <w:rFonts w:hint="eastAsia" w:hAnsi="宋体" w:cs="宋体"/>
          <w:b/>
          <w:bCs/>
          <w:color w:val="auto"/>
          <w:highlight w:val="none"/>
        </w:rPr>
        <w:t>具有良好的商业信誉和健全的财务会计制度提供以下证明材料：</w:t>
      </w:r>
    </w:p>
    <w:p w14:paraId="5477FD41">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（1）具有健全的财务会计制度（20</w:t>
      </w:r>
      <w:r>
        <w:rPr>
          <w:rFonts w:hint="eastAsia" w:hAnsi="宋体" w:cs="宋体"/>
          <w:color w:val="auto"/>
          <w:highlight w:val="none"/>
          <w:lang w:val="en-US" w:eastAsia="zh-CN"/>
        </w:rPr>
        <w:t>24</w:t>
      </w:r>
      <w:r>
        <w:rPr>
          <w:rFonts w:hint="eastAsia" w:hAnsi="宋体" w:cs="宋体"/>
          <w:color w:val="auto"/>
          <w:highlight w:val="none"/>
        </w:rPr>
        <w:t>年度或202</w:t>
      </w:r>
      <w:r>
        <w:rPr>
          <w:rFonts w:hint="eastAsia" w:hAnsi="宋体" w:cs="宋体"/>
          <w:color w:val="auto"/>
          <w:highlight w:val="none"/>
          <w:lang w:val="en-US" w:eastAsia="zh-CN"/>
        </w:rPr>
        <w:t>5</w:t>
      </w:r>
      <w:r>
        <w:rPr>
          <w:rFonts w:hint="eastAsia" w:hAnsi="宋体" w:cs="宋体"/>
          <w:color w:val="auto"/>
          <w:highlight w:val="none"/>
        </w:rPr>
        <w:t>年度财务状况（投标人可根据自身实际情况任选其一提供以下证明材料））：</w:t>
      </w:r>
    </w:p>
    <w:p w14:paraId="70ECD353">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①可提供20</w:t>
      </w:r>
      <w:r>
        <w:rPr>
          <w:rFonts w:hint="eastAsia" w:hAnsi="宋体" w:cs="宋体"/>
          <w:color w:val="auto"/>
          <w:highlight w:val="none"/>
          <w:lang w:val="en-US" w:eastAsia="zh-CN"/>
        </w:rPr>
        <w:t>24</w:t>
      </w:r>
      <w:r>
        <w:rPr>
          <w:rFonts w:hint="eastAsia" w:hAnsi="宋体" w:cs="宋体"/>
          <w:color w:val="auto"/>
          <w:highlight w:val="none"/>
        </w:rPr>
        <w:t>年度经审计的财务报告复印件（包含审计报告和审计报告中所涉及的财务报表和报表附注）；</w:t>
      </w:r>
    </w:p>
    <w:p w14:paraId="50B78B06">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②也可提供20</w:t>
      </w:r>
      <w:r>
        <w:rPr>
          <w:rFonts w:hint="eastAsia" w:hAnsi="宋体" w:cs="宋体"/>
          <w:color w:val="auto"/>
          <w:highlight w:val="none"/>
          <w:lang w:val="en-US" w:eastAsia="zh-CN"/>
        </w:rPr>
        <w:t>24</w:t>
      </w:r>
      <w:r>
        <w:rPr>
          <w:rFonts w:hint="eastAsia" w:hAnsi="宋体" w:cs="宋体"/>
          <w:color w:val="auto"/>
          <w:highlight w:val="none"/>
        </w:rPr>
        <w:t>年度供应商内部的财务报表复印件（至少包含资产负债表）；</w:t>
      </w:r>
    </w:p>
    <w:p w14:paraId="32758FC9">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③也可提供截至响应文件递交截止日一年内银行出具的资信证明（复印件）。</w:t>
      </w:r>
    </w:p>
    <w:p w14:paraId="707609A9">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④供应商注册时间至文件递交截止日不足一年的，也可提供在工商备案的公司章程（复印件）。</w:t>
      </w:r>
    </w:p>
    <w:p w14:paraId="6C7C0784">
      <w:pPr>
        <w:keepLines w:val="0"/>
        <w:pageBreakBefore w:val="0"/>
        <w:kinsoku/>
        <w:overflowPunct/>
        <w:bidi w:val="0"/>
        <w:spacing w:line="360" w:lineRule="auto"/>
        <w:ind w:firstLine="480" w:firstLineChars="200"/>
        <w:rPr>
          <w:rFonts w:hint="eastAsia"/>
          <w:color w:val="auto"/>
          <w:highlight w:val="none"/>
        </w:rPr>
      </w:pPr>
      <w:r>
        <w:rPr>
          <w:rFonts w:hint="eastAsia" w:hAnsi="宋体" w:cs="宋体"/>
          <w:color w:val="auto"/>
          <w:highlight w:val="none"/>
          <w:lang w:eastAsia="zh-CN"/>
        </w:rPr>
        <w:t>⑤</w:t>
      </w:r>
      <w:r>
        <w:rPr>
          <w:rFonts w:hint="eastAsia" w:hAnsi="宋体" w:cs="宋体"/>
          <w:color w:val="auto"/>
          <w:highlight w:val="none"/>
        </w:rPr>
        <w:t>也可提供具有健全的财务会计制度</w:t>
      </w:r>
      <w:r>
        <w:rPr>
          <w:rFonts w:hint="eastAsia" w:hAnsi="宋体" w:cs="宋体"/>
          <w:color w:val="auto"/>
          <w:highlight w:val="none"/>
          <w:lang w:eastAsia="zh-CN"/>
        </w:rPr>
        <w:t>承诺</w:t>
      </w:r>
      <w:r>
        <w:rPr>
          <w:rFonts w:hint="eastAsia" w:hAnsi="宋体" w:cs="宋体"/>
          <w:color w:val="auto"/>
          <w:highlight w:val="none"/>
        </w:rPr>
        <w:t>函</w:t>
      </w:r>
      <w:r>
        <w:rPr>
          <w:rFonts w:hint="eastAsia" w:hAnsi="宋体" w:cs="宋体"/>
          <w:color w:val="auto"/>
          <w:highlight w:val="none"/>
          <w:lang w:eastAsia="zh-CN"/>
        </w:rPr>
        <w:t>原件</w:t>
      </w:r>
      <w:r>
        <w:rPr>
          <w:rFonts w:hint="eastAsia" w:hAnsi="宋体" w:cs="宋体"/>
          <w:color w:val="auto"/>
          <w:highlight w:val="none"/>
          <w:lang w:val="zh-CN"/>
        </w:rPr>
        <w:t>【格式可自拟】。</w:t>
      </w:r>
    </w:p>
    <w:p w14:paraId="6172B957">
      <w:pPr>
        <w:keepLines w:val="0"/>
        <w:pageBreakBefore w:val="0"/>
        <w:kinsoku/>
        <w:overflowPunct/>
        <w:bidi w:val="0"/>
        <w:spacing w:line="360" w:lineRule="auto"/>
        <w:ind w:firstLine="480" w:firstLineChars="200"/>
        <w:rPr>
          <w:rFonts w:hint="eastAsia" w:hAnsi="宋体" w:cs="宋体"/>
          <w:color w:val="auto"/>
          <w:highlight w:val="none"/>
          <w:lang w:val="zh-CN"/>
        </w:rPr>
      </w:pPr>
      <w:r>
        <w:rPr>
          <w:rFonts w:hint="eastAsia" w:hAnsi="宋体" w:cs="宋体"/>
          <w:color w:val="auto"/>
          <w:highlight w:val="none"/>
          <w:lang w:val="zh-CN"/>
        </w:rPr>
        <w:t>（2）具有良好的商业信誉可提供承诺</w:t>
      </w:r>
      <w:r>
        <w:rPr>
          <w:rFonts w:hint="eastAsia" w:hAnsi="宋体" w:cs="宋体"/>
          <w:color w:val="auto"/>
          <w:highlight w:val="none"/>
        </w:rPr>
        <w:t>函</w:t>
      </w:r>
      <w:r>
        <w:rPr>
          <w:rFonts w:hint="eastAsia" w:hAnsi="宋体" w:cs="宋体"/>
          <w:color w:val="auto"/>
          <w:highlight w:val="none"/>
          <w:lang w:val="zh-CN"/>
        </w:rPr>
        <w:t>原件【格式可自拟】。</w:t>
      </w:r>
    </w:p>
    <w:p w14:paraId="3FCAB8BE">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hAnsi="宋体" w:cs="宋体"/>
          <w:b/>
          <w:bCs/>
          <w:color w:val="auto"/>
          <w:highlight w:val="none"/>
        </w:rPr>
      </w:pPr>
      <w:r>
        <w:rPr>
          <w:rFonts w:hint="eastAsia" w:hAnsi="宋体" w:cs="宋体"/>
          <w:b/>
          <w:bCs/>
          <w:color w:val="auto"/>
          <w:highlight w:val="none"/>
        </w:rPr>
        <w:t>3</w:t>
      </w:r>
      <w:r>
        <w:rPr>
          <w:rFonts w:hint="eastAsia" w:hAnsi="宋体" w:cs="宋体"/>
          <w:b/>
          <w:bCs/>
          <w:color w:val="auto"/>
          <w:highlight w:val="none"/>
          <w:lang w:val="en-US" w:eastAsia="zh-CN"/>
        </w:rPr>
        <w:t>.</w:t>
      </w:r>
      <w:r>
        <w:rPr>
          <w:rFonts w:hint="eastAsia" w:hAnsi="宋体" w:cs="宋体"/>
          <w:b/>
          <w:bCs/>
          <w:color w:val="auto"/>
          <w:highlight w:val="none"/>
        </w:rPr>
        <w:t>具有履行合同所必需的设备和专业技术能力的证明材料：</w:t>
      </w:r>
    </w:p>
    <w:p w14:paraId="7710FA9A">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（1）投标人自行提供或提供承诺函原件。</w:t>
      </w:r>
    </w:p>
    <w:p w14:paraId="28D05B44">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hAnsi="宋体" w:cs="宋体"/>
          <w:b/>
          <w:bCs/>
          <w:color w:val="auto"/>
          <w:highlight w:val="none"/>
        </w:rPr>
      </w:pPr>
      <w:r>
        <w:rPr>
          <w:rFonts w:hint="eastAsia" w:hAnsi="宋体" w:cs="宋体"/>
          <w:b/>
          <w:bCs/>
          <w:color w:val="auto"/>
          <w:highlight w:val="none"/>
        </w:rPr>
        <w:t>4</w:t>
      </w:r>
      <w:r>
        <w:rPr>
          <w:rFonts w:hint="eastAsia" w:hAnsi="宋体" w:cs="宋体"/>
          <w:b/>
          <w:bCs/>
          <w:color w:val="auto"/>
          <w:highlight w:val="none"/>
          <w:lang w:val="en-US" w:eastAsia="zh-CN"/>
        </w:rPr>
        <w:t>.</w:t>
      </w:r>
      <w:r>
        <w:rPr>
          <w:rFonts w:hint="eastAsia" w:hAnsi="宋体" w:cs="宋体"/>
          <w:b/>
          <w:bCs/>
          <w:color w:val="auto"/>
          <w:highlight w:val="none"/>
        </w:rPr>
        <w:t>有依法缴纳税收和社会保障资金的良好记录：</w:t>
      </w:r>
    </w:p>
    <w:p w14:paraId="3FFF5DE9">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（1）缴纳税收证明材料（投标人可提供以下证明材料）：</w:t>
      </w:r>
    </w:p>
    <w:p w14:paraId="6B88FA3F">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①税务登记证副本复印件（注：在有效期内）或工商部门新颁发的营业执照复印件（有效期内）。</w:t>
      </w:r>
    </w:p>
    <w:p w14:paraId="5F2A58CC">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②投标人提供202</w:t>
      </w:r>
      <w:r>
        <w:rPr>
          <w:rFonts w:hint="eastAsia" w:hAnsi="宋体" w:cs="宋体"/>
          <w:color w:val="auto"/>
          <w:highlight w:val="none"/>
          <w:lang w:val="en-US" w:eastAsia="zh-CN"/>
        </w:rPr>
        <w:t>5</w:t>
      </w:r>
      <w:r>
        <w:rPr>
          <w:rFonts w:hint="eastAsia" w:hAnsi="宋体" w:cs="宋体"/>
          <w:color w:val="auto"/>
          <w:highlight w:val="none"/>
        </w:rPr>
        <w:t>年</w:t>
      </w:r>
      <w:r>
        <w:rPr>
          <w:rFonts w:hint="eastAsia" w:hAnsi="宋体" w:cs="宋体"/>
          <w:color w:val="auto"/>
          <w:highlight w:val="none"/>
          <w:lang w:val="en-US" w:eastAsia="zh-CN"/>
        </w:rPr>
        <w:t>6</w:t>
      </w:r>
      <w:r>
        <w:rPr>
          <w:rFonts w:hint="eastAsia" w:hAnsi="宋体" w:cs="宋体"/>
          <w:color w:val="auto"/>
          <w:highlight w:val="none"/>
        </w:rPr>
        <w:t>月1号以后任意一月的缴纳税收的银行电子回单或者税务部门出具的纳税证明或完税证明（注：原件或复印件或扫描件）或承诺函</w:t>
      </w:r>
      <w:r>
        <w:rPr>
          <w:rFonts w:hint="eastAsia" w:hAnsi="宋体" w:cs="宋体"/>
          <w:color w:val="auto"/>
          <w:highlight w:val="none"/>
          <w:lang w:val="zh-CN"/>
        </w:rPr>
        <w:t>【格式可自拟】</w:t>
      </w:r>
      <w:r>
        <w:rPr>
          <w:rFonts w:hint="eastAsia" w:hAnsi="宋体" w:cs="宋体"/>
          <w:color w:val="auto"/>
          <w:highlight w:val="none"/>
        </w:rPr>
        <w:t>（注：原件）（注：承诺若不属实，将视为虚假响应，并按政府采购相关规定予以严惩）。</w:t>
      </w:r>
    </w:p>
    <w:p w14:paraId="28DBA434">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（2）缴纳社会保障资金（投标人可提供以下证明材料）：</w:t>
      </w:r>
    </w:p>
    <w:p w14:paraId="5EFEBD62">
      <w:pPr>
        <w:keepLines w:val="0"/>
        <w:pageBreakBefore w:val="0"/>
        <w:kinsoku/>
        <w:overflowPunct/>
        <w:bidi w:val="0"/>
        <w:spacing w:line="360" w:lineRule="auto"/>
        <w:ind w:firstLine="480" w:firstLineChars="200"/>
        <w:rPr>
          <w:rFonts w:hint="eastAsia" w:hAnsi="宋体" w:cs="宋体"/>
          <w:color w:val="auto"/>
          <w:highlight w:val="none"/>
        </w:rPr>
      </w:pPr>
      <w:r>
        <w:rPr>
          <w:rFonts w:hint="eastAsia" w:hAnsi="宋体" w:cs="宋体"/>
          <w:color w:val="auto"/>
          <w:highlight w:val="none"/>
        </w:rPr>
        <w:t>①投标人提供202</w:t>
      </w:r>
      <w:r>
        <w:rPr>
          <w:rFonts w:hint="eastAsia" w:hAnsi="宋体" w:cs="宋体"/>
          <w:color w:val="auto"/>
          <w:highlight w:val="none"/>
          <w:lang w:val="en-US" w:eastAsia="zh-CN"/>
        </w:rPr>
        <w:t>5</w:t>
      </w:r>
      <w:r>
        <w:rPr>
          <w:rFonts w:hint="eastAsia" w:hAnsi="宋体" w:cs="宋体"/>
          <w:color w:val="auto"/>
          <w:highlight w:val="none"/>
        </w:rPr>
        <w:t>年</w:t>
      </w:r>
      <w:r>
        <w:rPr>
          <w:rFonts w:hint="eastAsia" w:hAnsi="宋体" w:cs="宋体"/>
          <w:color w:val="auto"/>
          <w:highlight w:val="none"/>
          <w:lang w:val="en-US" w:eastAsia="zh-CN"/>
        </w:rPr>
        <w:t>6</w:t>
      </w:r>
      <w:r>
        <w:rPr>
          <w:rFonts w:hint="eastAsia" w:hAnsi="宋体" w:cs="宋体"/>
          <w:color w:val="auto"/>
          <w:highlight w:val="none"/>
        </w:rPr>
        <w:t>月1号以后任意一月社保缴纳的证明材料（注：1.缴纳的银行电子回单或以社保部门出具的为准（注：原件或复印件或扫描件）或承诺函</w:t>
      </w:r>
      <w:r>
        <w:rPr>
          <w:rFonts w:hint="eastAsia" w:hAnsi="宋体" w:cs="宋体"/>
          <w:color w:val="auto"/>
          <w:highlight w:val="none"/>
          <w:lang w:val="zh-CN"/>
        </w:rPr>
        <w:t>【格式可自拟】</w:t>
      </w:r>
      <w:r>
        <w:rPr>
          <w:rFonts w:hint="eastAsia" w:hAnsi="宋体" w:cs="宋体"/>
          <w:color w:val="auto"/>
          <w:highlight w:val="none"/>
        </w:rPr>
        <w:t>（注：原件）（注：承诺若不属实，将视为虚假响应，并按政府采购相关规定予以严惩）。</w:t>
      </w:r>
    </w:p>
    <w:p w14:paraId="49237B2E">
      <w:pPr>
        <w:keepNext w:val="0"/>
        <w:keepLines w:val="0"/>
        <w:pageBreakBefore w:val="0"/>
        <w:widowControl/>
        <w:kinsoku/>
        <w:wordWrap/>
        <w:overflowPunct/>
        <w:topLinePunct w:val="0"/>
        <w:autoSpaceDE/>
        <w:autoSpaceDN/>
        <w:bidi w:val="0"/>
        <w:adjustRightInd/>
        <w:snapToGrid/>
        <w:spacing w:line="360" w:lineRule="auto"/>
        <w:ind w:firstLine="482" w:firstLineChars="200"/>
        <w:textAlignment w:val="auto"/>
        <w:rPr>
          <w:rFonts w:hint="eastAsia" w:hAnsi="宋体" w:cs="宋体"/>
          <w:b/>
          <w:bCs/>
          <w:color w:val="auto"/>
          <w:highlight w:val="none"/>
        </w:rPr>
      </w:pPr>
      <w:r>
        <w:rPr>
          <w:rFonts w:hint="eastAsia" w:hAnsi="宋体" w:cs="宋体"/>
          <w:b/>
          <w:bCs/>
          <w:color w:val="auto"/>
          <w:highlight w:val="none"/>
        </w:rPr>
        <w:t>5</w:t>
      </w:r>
      <w:r>
        <w:rPr>
          <w:rFonts w:hint="eastAsia" w:hAnsi="宋体" w:cs="宋体"/>
          <w:b/>
          <w:bCs/>
          <w:color w:val="auto"/>
          <w:highlight w:val="none"/>
          <w:lang w:val="en-US" w:eastAsia="zh-CN"/>
        </w:rPr>
        <w:t>.</w:t>
      </w:r>
      <w:r>
        <w:rPr>
          <w:rFonts w:hint="eastAsia" w:hAnsi="宋体" w:cs="宋体"/>
          <w:b/>
          <w:bCs/>
          <w:color w:val="auto"/>
          <w:highlight w:val="none"/>
        </w:rPr>
        <w:t>参加</w:t>
      </w:r>
      <w:r>
        <w:rPr>
          <w:rFonts w:hint="eastAsia" w:hAnsi="宋体" w:cs="宋体"/>
          <w:b/>
          <w:bCs/>
          <w:color w:val="auto"/>
          <w:highlight w:val="none"/>
          <w:lang w:eastAsia="zh-CN"/>
        </w:rPr>
        <w:t>采购活动</w:t>
      </w:r>
      <w:r>
        <w:rPr>
          <w:rFonts w:hint="eastAsia" w:hAnsi="宋体" w:cs="宋体"/>
          <w:b/>
          <w:bCs/>
          <w:color w:val="auto"/>
          <w:highlight w:val="none"/>
        </w:rPr>
        <w:t>前三年内，在经营活动中没有重大违法记录提供以下证明材料：</w:t>
      </w:r>
    </w:p>
    <w:p w14:paraId="348F71F4">
      <w:pPr>
        <w:keepLines w:val="0"/>
        <w:pageBreakBefore w:val="0"/>
        <w:kinsoku/>
        <w:overflowPunct/>
        <w:bidi w:val="0"/>
        <w:spacing w:line="360" w:lineRule="auto"/>
        <w:ind w:left="1" w:firstLine="424" w:firstLineChars="177"/>
        <w:rPr>
          <w:rFonts w:hAnsi="宋体"/>
          <w:color w:val="auto"/>
          <w:highlight w:val="none"/>
        </w:rPr>
      </w:pPr>
      <w:r>
        <w:rPr>
          <w:rFonts w:hint="eastAsia" w:hAnsi="宋体"/>
          <w:color w:val="auto"/>
          <w:highlight w:val="none"/>
        </w:rPr>
        <w:t>（1）投标人参加</w:t>
      </w:r>
      <w:r>
        <w:rPr>
          <w:rFonts w:hint="eastAsia" w:hAnsi="宋体"/>
          <w:color w:val="auto"/>
          <w:highlight w:val="none"/>
          <w:lang w:eastAsia="zh-CN"/>
        </w:rPr>
        <w:t>采购活动</w:t>
      </w:r>
      <w:r>
        <w:rPr>
          <w:rFonts w:hint="eastAsia" w:hAnsi="宋体"/>
          <w:color w:val="auto"/>
          <w:highlight w:val="none"/>
        </w:rPr>
        <w:t>前三年内，在经营活动中没有重大违法记录的书面声明原件。</w:t>
      </w:r>
    </w:p>
    <w:p w14:paraId="524790D1">
      <w:pPr>
        <w:keepLines w:val="0"/>
        <w:pageBreakBefore w:val="0"/>
        <w:kinsoku/>
        <w:overflowPunct/>
        <w:bidi w:val="0"/>
        <w:spacing w:line="360" w:lineRule="auto"/>
        <w:rPr>
          <w:rFonts w:hint="eastAsia" w:hAnsi="宋体" w:eastAsia="宋体" w:cs="宋体"/>
          <w:b/>
          <w:bCs/>
          <w:color w:val="auto"/>
          <w:highlight w:val="none"/>
          <w:lang w:val="en-US" w:eastAsia="zh-CN"/>
        </w:rPr>
      </w:pPr>
      <w:r>
        <w:rPr>
          <w:rFonts w:hint="eastAsia" w:hAnsi="宋体" w:cs="宋体"/>
          <w:b/>
          <w:bCs/>
          <w:color w:val="auto"/>
          <w:highlight w:val="none"/>
        </w:rPr>
        <w:t>（二）根据采购项目提出的特殊条件：</w:t>
      </w:r>
      <w:r>
        <w:rPr>
          <w:rFonts w:hint="eastAsia" w:hAnsi="宋体" w:cs="宋体"/>
          <w:b/>
          <w:bCs/>
          <w:color w:val="auto"/>
          <w:highlight w:val="none"/>
          <w:lang w:val="en-US" w:eastAsia="zh-CN"/>
        </w:rPr>
        <w:t>无</w:t>
      </w:r>
    </w:p>
    <w:p w14:paraId="092C38E2">
      <w:pPr>
        <w:keepLines w:val="0"/>
        <w:pageBreakBefore w:val="0"/>
        <w:kinsoku/>
        <w:overflowPunct/>
        <w:bidi w:val="0"/>
        <w:spacing w:line="360" w:lineRule="auto"/>
        <w:rPr>
          <w:rFonts w:hint="eastAsia" w:hAnsi="宋体" w:cs="宋体"/>
          <w:b/>
          <w:bCs/>
          <w:color w:val="auto"/>
          <w:highlight w:val="none"/>
        </w:rPr>
      </w:pPr>
      <w:r>
        <w:rPr>
          <w:rFonts w:hint="eastAsia" w:hAnsi="宋体" w:cs="宋体"/>
          <w:b/>
          <w:bCs/>
          <w:color w:val="auto"/>
          <w:highlight w:val="none"/>
        </w:rPr>
        <w:t>（三）其他类似效力要求相关证明材料：</w:t>
      </w:r>
    </w:p>
    <w:p w14:paraId="6BB4C046">
      <w:pPr>
        <w:keepLines w:val="0"/>
        <w:pageBreakBefore w:val="0"/>
        <w:tabs>
          <w:tab w:val="left" w:pos="1134"/>
        </w:tabs>
        <w:kinsoku/>
        <w:overflowPunct/>
        <w:bidi w:val="0"/>
        <w:spacing w:line="360" w:lineRule="auto"/>
        <w:ind w:firstLine="338" w:firstLineChars="141"/>
        <w:rPr>
          <w:rFonts w:hAnsi="宋体"/>
          <w:bCs/>
          <w:color w:val="auto"/>
          <w:highlight w:val="none"/>
        </w:rPr>
      </w:pPr>
      <w:r>
        <w:rPr>
          <w:rFonts w:hint="eastAsia" w:hAnsi="宋体"/>
          <w:bCs/>
          <w:color w:val="auto"/>
          <w:highlight w:val="none"/>
        </w:rPr>
        <w:t>1</w:t>
      </w:r>
      <w:r>
        <w:rPr>
          <w:rFonts w:hint="eastAsia" w:hAnsi="宋体"/>
          <w:bCs/>
          <w:color w:val="auto"/>
          <w:highlight w:val="none"/>
          <w:lang w:eastAsia="zh-CN"/>
        </w:rPr>
        <w:t>、</w:t>
      </w:r>
      <w:r>
        <w:rPr>
          <w:rFonts w:hint="eastAsia" w:hAnsi="宋体"/>
          <w:bCs/>
          <w:color w:val="auto"/>
          <w:highlight w:val="none"/>
        </w:rPr>
        <w:t>法定代表人身份证复印件或护照复印件［注：</w:t>
      </w:r>
      <w:r>
        <w:rPr>
          <w:rFonts w:hint="eastAsia" w:hAnsi="宋体"/>
          <w:bCs/>
          <w:color w:val="auto"/>
          <w:highlight w:val="none"/>
          <w:lang w:eastAsia="zh-CN"/>
        </w:rPr>
        <w:t>（</w:t>
      </w:r>
      <w:r>
        <w:rPr>
          <w:rFonts w:hint="eastAsia" w:hAnsi="宋体"/>
          <w:bCs/>
          <w:color w:val="auto"/>
          <w:highlight w:val="none"/>
          <w:lang w:val="en-US" w:eastAsia="zh-CN"/>
        </w:rPr>
        <w:t>1</w:t>
      </w:r>
      <w:r>
        <w:rPr>
          <w:rFonts w:hint="eastAsia" w:hAnsi="宋体"/>
          <w:bCs/>
          <w:color w:val="auto"/>
          <w:highlight w:val="none"/>
          <w:lang w:eastAsia="zh-CN"/>
        </w:rPr>
        <w:t>）</w:t>
      </w:r>
      <w:r>
        <w:rPr>
          <w:rFonts w:hint="eastAsia" w:hAnsi="宋体"/>
          <w:bCs/>
          <w:color w:val="auto"/>
          <w:highlight w:val="none"/>
        </w:rPr>
        <w:t>法定代表人身份证复印件（在有效期内、两面均应复印）或护照复印件（法定代表人为外籍人士的，按此提供）；</w:t>
      </w:r>
    </w:p>
    <w:p w14:paraId="0276E786">
      <w:pPr>
        <w:keepLines w:val="0"/>
        <w:pageBreakBefore w:val="0"/>
        <w:tabs>
          <w:tab w:val="left" w:pos="1134"/>
        </w:tabs>
        <w:kinsoku/>
        <w:overflowPunct/>
        <w:bidi w:val="0"/>
        <w:spacing w:line="360" w:lineRule="auto"/>
        <w:ind w:firstLine="338" w:firstLineChars="141"/>
        <w:rPr>
          <w:rFonts w:hAnsi="宋体"/>
          <w:bCs/>
          <w:color w:val="auto"/>
          <w:highlight w:val="none"/>
        </w:rPr>
      </w:pPr>
      <w:r>
        <w:rPr>
          <w:rFonts w:hint="eastAsia" w:hAnsi="宋体"/>
          <w:bCs/>
          <w:color w:val="auto"/>
          <w:highlight w:val="none"/>
        </w:rPr>
        <w:t>2</w:t>
      </w:r>
      <w:r>
        <w:rPr>
          <w:rFonts w:hint="eastAsia" w:hAnsi="宋体"/>
          <w:bCs/>
          <w:color w:val="auto"/>
          <w:highlight w:val="none"/>
          <w:lang w:eastAsia="zh-CN"/>
        </w:rPr>
        <w:t>、</w:t>
      </w:r>
      <w:r>
        <w:rPr>
          <w:rFonts w:hint="eastAsia" w:hAnsi="宋体"/>
          <w:bCs/>
          <w:color w:val="auto"/>
          <w:highlight w:val="none"/>
        </w:rPr>
        <w:t>代理人身份证复印件（身份证两面均应复印）（注：</w:t>
      </w:r>
      <w:r>
        <w:rPr>
          <w:rFonts w:hint="eastAsia" w:hAnsi="宋体"/>
          <w:bCs/>
          <w:color w:val="auto"/>
          <w:highlight w:val="none"/>
          <w:lang w:eastAsia="zh-CN"/>
        </w:rPr>
        <w:t>（</w:t>
      </w:r>
      <w:r>
        <w:rPr>
          <w:rFonts w:hint="eastAsia" w:hAnsi="宋体"/>
          <w:bCs/>
          <w:color w:val="auto"/>
          <w:highlight w:val="none"/>
          <w:lang w:val="en-US" w:eastAsia="zh-CN"/>
        </w:rPr>
        <w:t>1</w:t>
      </w:r>
      <w:r>
        <w:rPr>
          <w:rFonts w:hint="eastAsia" w:hAnsi="宋体"/>
          <w:bCs/>
          <w:color w:val="auto"/>
          <w:highlight w:val="none"/>
          <w:lang w:eastAsia="zh-CN"/>
        </w:rPr>
        <w:t>）</w:t>
      </w:r>
      <w:r>
        <w:rPr>
          <w:rFonts w:hint="eastAsia" w:hAnsi="宋体"/>
          <w:bCs/>
          <w:color w:val="auto"/>
          <w:highlight w:val="none"/>
        </w:rPr>
        <w:t>在有效期内；</w:t>
      </w:r>
      <w:r>
        <w:rPr>
          <w:rFonts w:hint="eastAsia" w:hAnsi="宋体"/>
          <w:bCs/>
          <w:color w:val="auto"/>
          <w:highlight w:val="none"/>
          <w:lang w:eastAsia="zh-CN"/>
        </w:rPr>
        <w:t>（</w:t>
      </w:r>
      <w:r>
        <w:rPr>
          <w:rFonts w:hint="eastAsia" w:hAnsi="宋体"/>
          <w:bCs/>
          <w:color w:val="auto"/>
          <w:highlight w:val="none"/>
          <w:lang w:val="en-US" w:eastAsia="zh-CN"/>
        </w:rPr>
        <w:t>2</w:t>
      </w:r>
      <w:r>
        <w:rPr>
          <w:rFonts w:hint="eastAsia" w:hAnsi="宋体"/>
          <w:bCs/>
          <w:color w:val="auto"/>
          <w:highlight w:val="none"/>
          <w:lang w:eastAsia="zh-CN"/>
        </w:rPr>
        <w:t>）</w:t>
      </w:r>
      <w:r>
        <w:rPr>
          <w:rFonts w:hint="eastAsia" w:hAnsi="宋体"/>
          <w:bCs/>
          <w:color w:val="auto"/>
          <w:highlight w:val="none"/>
        </w:rPr>
        <w:t>由投标人法定代表人签署所有投标文件并参加投标的，则可不提供）。</w:t>
      </w:r>
    </w:p>
    <w:p w14:paraId="417A7527">
      <w:pPr>
        <w:keepLines w:val="0"/>
        <w:pageBreakBefore w:val="0"/>
        <w:kinsoku/>
        <w:overflowPunct/>
        <w:bidi w:val="0"/>
        <w:spacing w:line="360" w:lineRule="auto"/>
        <w:ind w:firstLine="338" w:firstLineChars="141"/>
        <w:rPr>
          <w:rFonts w:hAnsi="宋体"/>
          <w:bCs/>
          <w:color w:val="auto"/>
          <w:highlight w:val="none"/>
        </w:rPr>
      </w:pPr>
      <w:r>
        <w:rPr>
          <w:rFonts w:hint="eastAsia" w:hAnsi="宋体"/>
          <w:bCs/>
          <w:color w:val="auto"/>
          <w:highlight w:val="none"/>
        </w:rPr>
        <w:t>3</w:t>
      </w:r>
      <w:r>
        <w:rPr>
          <w:rFonts w:hint="eastAsia" w:hAnsi="宋体"/>
          <w:bCs/>
          <w:color w:val="auto"/>
          <w:highlight w:val="none"/>
          <w:lang w:eastAsia="zh-CN"/>
        </w:rPr>
        <w:t>、</w:t>
      </w:r>
      <w:r>
        <w:rPr>
          <w:rFonts w:hint="eastAsia" w:hAnsi="宋体"/>
          <w:bCs/>
          <w:color w:val="auto"/>
          <w:highlight w:val="none"/>
        </w:rPr>
        <w:t>法人授权书原件（注：</w:t>
      </w:r>
      <w:r>
        <w:rPr>
          <w:rFonts w:hint="eastAsia" w:hAnsi="宋体"/>
          <w:bCs/>
          <w:color w:val="auto"/>
          <w:highlight w:val="none"/>
          <w:lang w:eastAsia="zh-CN"/>
        </w:rPr>
        <w:t>（</w:t>
      </w:r>
      <w:r>
        <w:rPr>
          <w:rFonts w:hint="eastAsia" w:hAnsi="宋体"/>
          <w:bCs/>
          <w:color w:val="auto"/>
          <w:highlight w:val="none"/>
          <w:lang w:val="en-US" w:eastAsia="zh-CN"/>
        </w:rPr>
        <w:t>1</w:t>
      </w:r>
      <w:r>
        <w:rPr>
          <w:rFonts w:hint="eastAsia" w:hAnsi="宋体"/>
          <w:bCs/>
          <w:color w:val="auto"/>
          <w:highlight w:val="none"/>
          <w:lang w:eastAsia="zh-CN"/>
        </w:rPr>
        <w:t>）</w:t>
      </w:r>
      <w:r>
        <w:rPr>
          <w:rFonts w:hint="eastAsia" w:hAnsi="宋体"/>
          <w:bCs/>
          <w:color w:val="auto"/>
          <w:highlight w:val="none"/>
        </w:rPr>
        <w:t>非法定代表人签署所有投标文件并参加投标的适用；</w:t>
      </w:r>
      <w:r>
        <w:rPr>
          <w:rFonts w:hint="eastAsia" w:hAnsi="宋体"/>
          <w:bCs/>
          <w:color w:val="auto"/>
          <w:highlight w:val="none"/>
          <w:lang w:eastAsia="zh-CN"/>
        </w:rPr>
        <w:t>（</w:t>
      </w:r>
      <w:r>
        <w:rPr>
          <w:rFonts w:hint="eastAsia" w:hAnsi="宋体"/>
          <w:bCs/>
          <w:color w:val="auto"/>
          <w:highlight w:val="none"/>
          <w:lang w:val="en-US" w:eastAsia="zh-CN"/>
        </w:rPr>
        <w:t>2</w:t>
      </w:r>
      <w:r>
        <w:rPr>
          <w:rFonts w:hint="eastAsia" w:hAnsi="宋体"/>
          <w:bCs/>
          <w:color w:val="auto"/>
          <w:highlight w:val="none"/>
          <w:lang w:eastAsia="zh-CN"/>
        </w:rPr>
        <w:t>）</w:t>
      </w:r>
      <w:r>
        <w:rPr>
          <w:rFonts w:hint="eastAsia" w:hAnsi="宋体"/>
          <w:bCs/>
          <w:color w:val="auto"/>
          <w:highlight w:val="none"/>
        </w:rPr>
        <w:t>非独立法人机构提供相应的有授权资格的负责人授权书原件；</w:t>
      </w:r>
      <w:r>
        <w:rPr>
          <w:rFonts w:hint="eastAsia" w:hAnsi="宋体"/>
          <w:bCs/>
          <w:color w:val="auto"/>
          <w:highlight w:val="none"/>
          <w:lang w:eastAsia="zh-CN"/>
        </w:rPr>
        <w:t>（</w:t>
      </w:r>
      <w:r>
        <w:rPr>
          <w:rFonts w:hint="eastAsia" w:hAnsi="宋体"/>
          <w:bCs/>
          <w:color w:val="auto"/>
          <w:highlight w:val="none"/>
          <w:lang w:val="en-US" w:eastAsia="zh-CN"/>
        </w:rPr>
        <w:t>3</w:t>
      </w:r>
      <w:r>
        <w:rPr>
          <w:rFonts w:hint="eastAsia" w:hAnsi="宋体"/>
          <w:bCs/>
          <w:color w:val="auto"/>
          <w:highlight w:val="none"/>
          <w:lang w:eastAsia="zh-CN"/>
        </w:rPr>
        <w:t>）</w:t>
      </w:r>
      <w:r>
        <w:rPr>
          <w:rFonts w:hint="eastAsia" w:hAnsi="宋体"/>
          <w:bCs/>
          <w:color w:val="auto"/>
          <w:highlight w:val="none"/>
        </w:rPr>
        <w:t>其签字或加盖法定代表人私人印章须</w:t>
      </w:r>
      <w:r>
        <w:rPr>
          <w:rFonts w:hint="eastAsia" w:hAnsi="宋体" w:cs="宋体"/>
          <w:color w:val="auto"/>
          <w:highlight w:val="none"/>
        </w:rPr>
        <w:t>与其相对应的身份证明文件[身份证复印件或护照复印件（外籍人士适用）]上姓名一致</w:t>
      </w:r>
      <w:r>
        <w:rPr>
          <w:rStyle w:val="59"/>
          <w:rFonts w:hint="eastAsia"/>
          <w:color w:val="auto"/>
          <w:highlight w:val="none"/>
        </w:rPr>
        <w:t>。）</w:t>
      </w:r>
    </w:p>
    <w:p w14:paraId="2C5B9288">
      <w:pPr>
        <w:keepLines w:val="0"/>
        <w:pageBreakBefore w:val="0"/>
        <w:kinsoku/>
        <w:overflowPunct/>
        <w:bidi w:val="0"/>
        <w:spacing w:line="360" w:lineRule="auto"/>
        <w:rPr>
          <w:rFonts w:hint="eastAsia" w:hAnsi="宋体" w:cs="宋体"/>
          <w:b/>
          <w:bCs/>
          <w:color w:val="auto"/>
          <w:highlight w:val="none"/>
        </w:rPr>
      </w:pPr>
    </w:p>
    <w:p w14:paraId="0EC062F1">
      <w:pPr>
        <w:keepLines w:val="0"/>
        <w:pageBreakBefore w:val="0"/>
        <w:kinsoku/>
        <w:overflowPunct/>
        <w:bidi w:val="0"/>
        <w:spacing w:line="360" w:lineRule="auto"/>
        <w:rPr>
          <w:rFonts w:hint="eastAsia" w:hAnsi="宋体" w:cs="宋体"/>
          <w:b/>
          <w:bCs/>
          <w:color w:val="auto"/>
          <w:highlight w:val="none"/>
        </w:rPr>
      </w:pPr>
      <w:r>
        <w:rPr>
          <w:rFonts w:hint="eastAsia" w:hAnsi="宋体" w:cs="宋体"/>
          <w:b/>
          <w:bCs/>
          <w:color w:val="auto"/>
          <w:highlight w:val="none"/>
        </w:rPr>
        <w:t>二、应当提供的投标产品的资格、资质性及其他类似效力要求的相关证明材料</w:t>
      </w:r>
    </w:p>
    <w:p w14:paraId="4240CE57">
      <w:pPr>
        <w:keepLines w:val="0"/>
        <w:pageBreakBefore w:val="0"/>
        <w:kinsoku/>
        <w:overflowPunct/>
        <w:bidi w:val="0"/>
        <w:adjustRightInd w:val="0"/>
        <w:snapToGrid w:val="0"/>
        <w:spacing w:line="360" w:lineRule="auto"/>
        <w:ind w:firstLine="480" w:firstLineChars="200"/>
        <w:rPr>
          <w:rFonts w:hint="eastAsia" w:hAnsi="宋体"/>
          <w:bCs/>
          <w:color w:val="auto"/>
          <w:highlight w:val="none"/>
          <w:lang w:eastAsia="zh-CN"/>
        </w:rPr>
      </w:pPr>
      <w:r>
        <w:rPr>
          <w:rFonts w:hint="eastAsia" w:hAnsi="宋体"/>
          <w:bCs/>
          <w:color w:val="auto"/>
          <w:highlight w:val="none"/>
          <w:lang w:eastAsia="zh-CN"/>
        </w:rPr>
        <w:t>无。</w:t>
      </w:r>
    </w:p>
    <w:p w14:paraId="3E30CFBE">
      <w:pPr>
        <w:keepLines w:val="0"/>
        <w:pageBreakBefore w:val="0"/>
        <w:kinsoku/>
        <w:overflowPunct/>
        <w:bidi w:val="0"/>
        <w:adjustRightInd w:val="0"/>
        <w:snapToGrid w:val="0"/>
        <w:spacing w:line="360" w:lineRule="auto"/>
        <w:ind w:firstLine="442" w:firstLineChars="200"/>
        <w:rPr>
          <w:rFonts w:hint="eastAsia" w:hAnsi="宋体" w:cs="宋体"/>
          <w:b/>
          <w:color w:val="auto"/>
          <w:sz w:val="22"/>
          <w:highlight w:val="none"/>
        </w:rPr>
      </w:pPr>
    </w:p>
    <w:p w14:paraId="4777A4ED">
      <w:pPr>
        <w:keepLines w:val="0"/>
        <w:pageBreakBefore w:val="0"/>
        <w:kinsoku/>
        <w:overflowPunct/>
        <w:bidi w:val="0"/>
        <w:adjustRightInd w:val="0"/>
        <w:snapToGrid w:val="0"/>
        <w:spacing w:line="360" w:lineRule="auto"/>
        <w:ind w:firstLine="442" w:firstLineChars="200"/>
        <w:rPr>
          <w:rFonts w:hint="eastAsia" w:hAnsi="宋体" w:cs="宋体"/>
          <w:b/>
          <w:color w:val="auto"/>
          <w:sz w:val="22"/>
          <w:highlight w:val="none"/>
        </w:rPr>
        <w:sectPr>
          <w:headerReference r:id="rId47" w:type="first"/>
          <w:footerReference r:id="rId48" w:type="first"/>
          <w:pgSz w:w="11907" w:h="16840"/>
          <w:pgMar w:top="1440" w:right="1080" w:bottom="1440" w:left="1080" w:header="851" w:footer="992" w:gutter="0"/>
          <w:pgBorders>
            <w:top w:val="none" w:sz="0" w:space="0"/>
            <w:left w:val="none" w:sz="0" w:space="0"/>
            <w:bottom w:val="none" w:sz="0" w:space="0"/>
            <w:right w:val="none" w:sz="0" w:space="0"/>
          </w:pgBorders>
          <w:pgNumType w:fmt="decimal"/>
          <w:cols w:space="720" w:num="1"/>
          <w:titlePg/>
          <w:docGrid w:linePitch="326" w:charSpace="0"/>
        </w:sectPr>
      </w:pPr>
      <w:r>
        <w:rPr>
          <w:rFonts w:hint="eastAsia" w:hAnsi="宋体" w:cs="宋体"/>
          <w:b/>
          <w:color w:val="auto"/>
          <w:sz w:val="22"/>
          <w:highlight w:val="none"/>
        </w:rPr>
        <w:t>说明：本章要求提供的相关证明材料应当与第四章的规定要求对应，除投标人自愿以外，不能要求投标人提供额外的证明材料。如果要求提供额外的证明材料，投标人有权不予提供，且不影响投标文件的有效性和完整性。</w:t>
      </w:r>
    </w:p>
    <w:p w14:paraId="775DD8AB">
      <w:pPr>
        <w:pStyle w:val="2"/>
        <w:keepLines w:val="0"/>
        <w:pageBreakBefore w:val="0"/>
        <w:kinsoku/>
        <w:overflowPunct/>
        <w:bidi w:val="0"/>
        <w:spacing w:line="360" w:lineRule="auto"/>
        <w:jc w:val="center"/>
        <w:rPr>
          <w:rFonts w:hint="eastAsia" w:ascii="Cambria" w:hAnsi="Cambria" w:eastAsia="宋体" w:cs="Times New Roman"/>
          <w:b/>
          <w:bCs/>
          <w:color w:val="auto"/>
          <w:kern w:val="32"/>
          <w:sz w:val="32"/>
          <w:szCs w:val="32"/>
          <w:highlight w:val="none"/>
          <w:lang w:val="en-US" w:eastAsia="zh-CN" w:bidi="ar-SA"/>
        </w:rPr>
      </w:pPr>
      <w:bookmarkStart w:id="162" w:name="_Toc217446093"/>
      <w:bookmarkStart w:id="163" w:name="_Toc20583"/>
      <w:bookmarkStart w:id="164" w:name="_Toc7890"/>
      <w:bookmarkStart w:id="165" w:name="_Toc444"/>
      <w:r>
        <w:rPr>
          <w:rFonts w:hint="eastAsia" w:ascii="Cambria" w:hAnsi="Cambria" w:eastAsia="宋体" w:cs="Times New Roman"/>
          <w:b/>
          <w:bCs/>
          <w:color w:val="auto"/>
          <w:kern w:val="32"/>
          <w:sz w:val="32"/>
          <w:szCs w:val="32"/>
          <w:highlight w:val="none"/>
          <w:lang w:val="en-US" w:eastAsia="zh-CN" w:bidi="ar-SA"/>
        </w:rPr>
        <w:t xml:space="preserve">第六章 </w:t>
      </w:r>
      <w:bookmarkEnd w:id="162"/>
      <w:bookmarkEnd w:id="163"/>
      <w:bookmarkEnd w:id="164"/>
      <w:bookmarkStart w:id="166" w:name="_Toc217446094"/>
      <w:r>
        <w:rPr>
          <w:rFonts w:hint="eastAsia" w:ascii="Cambria" w:hAnsi="Cambria" w:eastAsia="宋体" w:cs="Times New Roman"/>
          <w:b/>
          <w:bCs/>
          <w:color w:val="auto"/>
          <w:kern w:val="32"/>
          <w:sz w:val="32"/>
          <w:szCs w:val="32"/>
          <w:highlight w:val="none"/>
          <w:lang w:val="en-US" w:eastAsia="zh-CN" w:bidi="ar-SA"/>
        </w:rPr>
        <w:t>本项目技术、服务、政府采购履约主要条款及其他要求条款</w:t>
      </w:r>
      <w:bookmarkEnd w:id="165"/>
      <w:bookmarkStart w:id="193" w:name="_GoBack"/>
      <w:bookmarkEnd w:id="193"/>
    </w:p>
    <w:bookmarkEnd w:id="166"/>
    <w:p w14:paraId="799151A3">
      <w:pPr>
        <w:pStyle w:val="34"/>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highlight w:val="none"/>
          <w:lang w:val="en-US" w:eastAsia="zh-CN" w:bidi="ar-SA"/>
        </w:rPr>
      </w:pPr>
      <w:bookmarkStart w:id="167" w:name="_Toc572"/>
      <w:bookmarkStart w:id="168" w:name="_Toc217446096"/>
      <w:bookmarkStart w:id="169" w:name="_Toc10567"/>
      <w:r>
        <w:rPr>
          <w:rFonts w:hint="eastAsia" w:ascii="宋体" w:hAnsi="宋体" w:eastAsia="宋体" w:cs="宋体"/>
          <w:kern w:val="2"/>
          <w:sz w:val="24"/>
          <w:szCs w:val="24"/>
          <w:highlight w:val="none"/>
          <w:lang w:val="en-US" w:eastAsia="zh-CN" w:bidi="ar-SA"/>
        </w:rPr>
        <w:t>项目概况：</w:t>
      </w:r>
    </w:p>
    <w:tbl>
      <w:tblPr>
        <w:tblStyle w:val="48"/>
        <w:tblW w:w="94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5358"/>
        <w:gridCol w:w="1262"/>
        <w:gridCol w:w="1801"/>
      </w:tblGrid>
      <w:tr w14:paraId="7D939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078" w:type="dxa"/>
            <w:noWrap w:val="0"/>
            <w:vAlign w:val="top"/>
          </w:tcPr>
          <w:p w14:paraId="6A03E52B">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序号</w:t>
            </w:r>
          </w:p>
        </w:tc>
        <w:tc>
          <w:tcPr>
            <w:tcW w:w="5358" w:type="dxa"/>
            <w:noWrap w:val="0"/>
            <w:vAlign w:val="top"/>
          </w:tcPr>
          <w:p w14:paraId="19ADC742">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标的名称</w:t>
            </w:r>
          </w:p>
        </w:tc>
        <w:tc>
          <w:tcPr>
            <w:tcW w:w="1262" w:type="dxa"/>
            <w:noWrap w:val="0"/>
            <w:vAlign w:val="top"/>
          </w:tcPr>
          <w:p w14:paraId="3AE4DD60">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数量</w:t>
            </w:r>
          </w:p>
        </w:tc>
        <w:tc>
          <w:tcPr>
            <w:tcW w:w="1801" w:type="dxa"/>
            <w:noWrap w:val="0"/>
            <w:vAlign w:val="top"/>
          </w:tcPr>
          <w:p w14:paraId="1F088458">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所属行业</w:t>
            </w:r>
          </w:p>
        </w:tc>
      </w:tr>
      <w:tr w14:paraId="17B84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078" w:type="dxa"/>
            <w:noWrap w:val="0"/>
            <w:vAlign w:val="top"/>
          </w:tcPr>
          <w:p w14:paraId="4DD9ACD3">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5358" w:type="dxa"/>
            <w:noWrap w:val="0"/>
            <w:vAlign w:val="top"/>
          </w:tcPr>
          <w:p w14:paraId="1DE72A5D">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室内烟火特性训练设施服务</w:t>
            </w:r>
          </w:p>
        </w:tc>
        <w:tc>
          <w:tcPr>
            <w:tcW w:w="1262" w:type="dxa"/>
            <w:noWrap w:val="0"/>
            <w:vAlign w:val="top"/>
          </w:tcPr>
          <w:p w14:paraId="7488BC46">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1套</w:t>
            </w:r>
          </w:p>
        </w:tc>
        <w:tc>
          <w:tcPr>
            <w:tcW w:w="1801" w:type="dxa"/>
            <w:noWrap w:val="0"/>
            <w:vAlign w:val="top"/>
          </w:tcPr>
          <w:p w14:paraId="7FE7D9A0">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工业</w:t>
            </w:r>
          </w:p>
        </w:tc>
      </w:tr>
    </w:tbl>
    <w:p w14:paraId="78EB1FD4">
      <w:pPr>
        <w:pStyle w:val="18"/>
        <w:rPr>
          <w:rFonts w:hint="eastAsia"/>
          <w:highlight w:val="none"/>
          <w:lang w:val="en-US" w:eastAsia="zh-CN"/>
        </w:rPr>
      </w:pPr>
    </w:p>
    <w:p w14:paraId="2714005F">
      <w:pPr>
        <w:pStyle w:val="34"/>
        <w:keepNext w:val="0"/>
        <w:keepLines w:val="0"/>
        <w:pageBreakBefore w:val="0"/>
        <w:widowControl w:val="0"/>
        <w:numPr>
          <w:ilvl w:val="0"/>
          <w:numId w:val="2"/>
        </w:numPr>
        <w:kinsoku/>
        <w:wordWrap/>
        <w:overflowPunct/>
        <w:topLinePunct w:val="0"/>
        <w:autoSpaceDE/>
        <w:autoSpaceDN/>
        <w:bidi w:val="0"/>
        <w:adjustRightInd/>
        <w:snapToGrid/>
        <w:spacing w:after="40" w:line="360" w:lineRule="auto"/>
        <w:ind w:left="0" w:leftChars="0" w:firstLine="482" w:firstLineChars="200"/>
        <w:jc w:val="both"/>
        <w:textAlignment w:val="auto"/>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技术要求</w:t>
      </w:r>
    </w:p>
    <w:p w14:paraId="65053855">
      <w:pPr>
        <w:spacing w:before="120" w:after="120" w:line="288" w:lineRule="auto"/>
        <w:ind w:left="0" w:firstLine="482" w:firstLineChars="200"/>
        <w:jc w:val="left"/>
        <w:rPr>
          <w:rFonts w:hint="default" w:ascii="宋体" w:hAnsi="宋体" w:eastAsia="宋体" w:cs="宋体"/>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w:t>
      </w:r>
      <w:r>
        <w:rPr>
          <w:rFonts w:hint="eastAsia" w:ascii="宋体" w:hAnsi="宋体" w:eastAsia="宋体" w:cs="宋体"/>
          <w:kern w:val="2"/>
          <w:sz w:val="24"/>
          <w:szCs w:val="24"/>
          <w:highlight w:val="none"/>
          <w:lang w:val="en-US" w:eastAsia="zh-CN" w:bidi="ar-SA"/>
        </w:rPr>
        <w:t>（一）训练模块配置及技术参数</w:t>
      </w:r>
    </w:p>
    <w:p w14:paraId="67571EEF">
      <w:pPr>
        <w:spacing w:before="120" w:after="120" w:line="288" w:lineRule="auto"/>
        <w:ind w:left="0" w:firstLine="480" w:firstLineChars="20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本项目须包含《室内烟火特性训练设施建设指南（征求意见稿）》规定的二级训练设施必建模块（★），各模块具体要求如下：</w:t>
      </w:r>
    </w:p>
    <w:tbl>
      <w:tblPr>
        <w:tblStyle w:val="47"/>
        <w:tblW w:w="0" w:type="auto"/>
        <w:tblInd w:w="0" w:type="dxa"/>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Layout w:type="fixed"/>
        <w:tblCellMar>
          <w:top w:w="0" w:type="dxa"/>
          <w:left w:w="10" w:type="dxa"/>
          <w:bottom w:w="0" w:type="dxa"/>
          <w:right w:w="10" w:type="dxa"/>
        </w:tblCellMar>
      </w:tblPr>
      <w:tblGrid>
        <w:gridCol w:w="1280"/>
        <w:gridCol w:w="1340"/>
        <w:gridCol w:w="2695"/>
        <w:gridCol w:w="4225"/>
      </w:tblGrid>
      <w:tr w14:paraId="533A3DC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280"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03FF44BB">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训练类别</w:t>
            </w:r>
          </w:p>
        </w:tc>
        <w:tc>
          <w:tcPr>
            <w:tcW w:w="1340"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6733C465">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训练模块</w:t>
            </w:r>
          </w:p>
        </w:tc>
        <w:tc>
          <w:tcPr>
            <w:tcW w:w="269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57F18D60">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功能要求</w:t>
            </w:r>
          </w:p>
        </w:tc>
        <w:tc>
          <w:tcPr>
            <w:tcW w:w="422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3A3A0D9C">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结构及配置参数</w:t>
            </w:r>
          </w:p>
        </w:tc>
      </w:tr>
      <w:tr w14:paraId="452B7510">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280"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1D4DA7F6">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火灾演示</w:t>
            </w:r>
          </w:p>
        </w:tc>
        <w:tc>
          <w:tcPr>
            <w:tcW w:w="1340"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7D8E0CBF">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火灾发展进程演示模块</w:t>
            </w:r>
          </w:p>
        </w:tc>
        <w:tc>
          <w:tcPr>
            <w:tcW w:w="269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7ECE4A41">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能够实现火灾发展各阶段、滚燃和轰燃现象演示</w:t>
            </w:r>
          </w:p>
        </w:tc>
        <w:tc>
          <w:tcPr>
            <w:tcW w:w="422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6B86E91A">
            <w:pPr>
              <w:numPr>
                <w:ilvl w:val="0"/>
                <w:numId w:val="0"/>
              </w:numPr>
              <w:spacing w:before="120" w:after="120" w:line="288" w:lineRule="auto"/>
              <w:jc w:val="left"/>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w:t>
            </w:r>
            <w:r>
              <w:rPr>
                <w:rFonts w:hint="default" w:ascii="宋体" w:hAnsi="宋体" w:eastAsia="宋体" w:cs="宋体"/>
                <w:kern w:val="2"/>
                <w:sz w:val="24"/>
                <w:szCs w:val="24"/>
                <w:highlight w:val="none"/>
                <w:lang w:val="en-US" w:eastAsia="zh-CN" w:bidi="ar-SA"/>
              </w:rPr>
              <w:t>设置2个出入口，侧向出口满足安全出口设置要求，正向出口设置可上下分段启闭的门；</w:t>
            </w:r>
          </w:p>
          <w:p w14:paraId="5B708330">
            <w:pPr>
              <w:numPr>
                <w:ilvl w:val="0"/>
                <w:numId w:val="0"/>
              </w:numPr>
              <w:spacing w:before="120" w:after="120" w:line="288" w:lineRule="auto"/>
              <w:ind w:leftChars="0"/>
              <w:jc w:val="left"/>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2、</w:t>
            </w:r>
            <w:r>
              <w:rPr>
                <w:rFonts w:hint="default" w:ascii="宋体" w:hAnsi="宋体" w:eastAsia="宋体" w:cs="宋体"/>
                <w:kern w:val="2"/>
                <w:sz w:val="24"/>
                <w:szCs w:val="24"/>
                <w:highlight w:val="none"/>
                <w:lang w:val="en-US" w:eastAsia="zh-CN" w:bidi="ar-SA"/>
              </w:rPr>
              <w:t>内部设置热辐射阻隔设施；</w:t>
            </w:r>
          </w:p>
          <w:p w14:paraId="25EE3733">
            <w:pPr>
              <w:numPr>
                <w:ilvl w:val="0"/>
                <w:numId w:val="0"/>
              </w:numPr>
              <w:spacing w:before="120" w:after="120" w:line="288" w:lineRule="auto"/>
              <w:ind w:leftChars="0"/>
              <w:jc w:val="left"/>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3、</w:t>
            </w:r>
            <w:r>
              <w:rPr>
                <w:rFonts w:hint="default" w:ascii="宋体" w:hAnsi="宋体" w:eastAsia="宋体" w:cs="宋体"/>
                <w:kern w:val="2"/>
                <w:sz w:val="24"/>
                <w:szCs w:val="24"/>
                <w:highlight w:val="none"/>
                <w:lang w:val="en-US" w:eastAsia="zh-CN" w:bidi="ar-SA"/>
              </w:rPr>
              <w:t>不与其他模块共用箱体</w:t>
            </w:r>
            <w:r>
              <w:rPr>
                <w:rFonts w:hint="eastAsia" w:ascii="宋体" w:hAnsi="宋体" w:eastAsia="宋体" w:cs="宋体"/>
                <w:kern w:val="2"/>
                <w:sz w:val="24"/>
                <w:szCs w:val="24"/>
                <w:highlight w:val="none"/>
                <w:lang w:val="en-US" w:eastAsia="zh-CN" w:bidi="ar-SA"/>
              </w:rPr>
              <w:t>。</w:t>
            </w:r>
          </w:p>
        </w:tc>
      </w:tr>
      <w:tr w14:paraId="714F8FED">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280"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41E88F91">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火灾演示</w:t>
            </w:r>
          </w:p>
        </w:tc>
        <w:tc>
          <w:tcPr>
            <w:tcW w:w="1340"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009B9E9F">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回燃现象演示模块</w:t>
            </w:r>
          </w:p>
        </w:tc>
        <w:tc>
          <w:tcPr>
            <w:tcW w:w="269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1DFBFDB5">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能够模拟密闭空间阴燃或窒息状态下产生大量可燃气体，通过控制通风实现回燃现象演示</w:t>
            </w:r>
          </w:p>
        </w:tc>
        <w:tc>
          <w:tcPr>
            <w:tcW w:w="422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36969632">
            <w:pPr>
              <w:numPr>
                <w:ilvl w:val="0"/>
                <w:numId w:val="3"/>
              </w:numPr>
              <w:spacing w:before="120" w:after="120" w:line="288" w:lineRule="auto"/>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设置2个出入口，侧向出口满足安全出口设置要求；</w:t>
            </w:r>
          </w:p>
          <w:p w14:paraId="730327BB">
            <w:pPr>
              <w:numPr>
                <w:ilvl w:val="0"/>
                <w:numId w:val="3"/>
              </w:numPr>
              <w:spacing w:before="120" w:after="120" w:line="288" w:lineRule="auto"/>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燃烧室与箱体连接处设置可启闭的开口；</w:t>
            </w:r>
          </w:p>
          <w:p w14:paraId="72B0C743">
            <w:pPr>
              <w:numPr>
                <w:ilvl w:val="0"/>
                <w:numId w:val="3"/>
              </w:numPr>
              <w:spacing w:before="120" w:after="120" w:line="288" w:lineRule="auto"/>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不与其他模块共用箱体</w:t>
            </w:r>
            <w:r>
              <w:rPr>
                <w:rFonts w:hint="eastAsia" w:ascii="宋体" w:hAnsi="宋体" w:eastAsia="宋体" w:cs="宋体"/>
                <w:kern w:val="2"/>
                <w:sz w:val="24"/>
                <w:szCs w:val="24"/>
                <w:highlight w:val="none"/>
                <w:lang w:val="en-US" w:eastAsia="zh-CN" w:bidi="ar-SA"/>
              </w:rPr>
              <w:t>。</w:t>
            </w:r>
          </w:p>
        </w:tc>
      </w:tr>
      <w:tr w14:paraId="72BAB67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280"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57AE397C">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分类实训</w:t>
            </w:r>
          </w:p>
        </w:tc>
        <w:tc>
          <w:tcPr>
            <w:tcW w:w="1340"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698C34BB">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过渡性射水训练模块</w:t>
            </w:r>
          </w:p>
        </w:tc>
        <w:tc>
          <w:tcPr>
            <w:tcW w:w="269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60AB336A">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能够模拟着火房间火势突破外窗的场景</w:t>
            </w:r>
          </w:p>
        </w:tc>
        <w:tc>
          <w:tcPr>
            <w:tcW w:w="422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6E31844A">
            <w:pPr>
              <w:spacing w:before="120" w:after="120" w:line="288" w:lineRule="auto"/>
              <w:ind w:left="0"/>
              <w:jc w:val="left"/>
              <w:rPr>
                <w:rFonts w:hint="eastAsia"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1</w:t>
            </w:r>
            <w:r>
              <w:rPr>
                <w:rFonts w:hint="eastAsia" w:ascii="宋体" w:hAnsi="宋体" w:eastAsia="宋体" w:cs="宋体"/>
                <w:kern w:val="2"/>
                <w:sz w:val="24"/>
                <w:szCs w:val="24"/>
                <w:highlight w:val="none"/>
                <w:lang w:val="en-US" w:eastAsia="zh-CN" w:bidi="ar-SA"/>
              </w:rPr>
              <w:t>、</w:t>
            </w:r>
            <w:r>
              <w:rPr>
                <w:rFonts w:hint="default" w:ascii="宋体" w:hAnsi="宋体" w:eastAsia="宋体" w:cs="宋体"/>
                <w:kern w:val="2"/>
                <w:sz w:val="24"/>
                <w:szCs w:val="24"/>
                <w:highlight w:val="none"/>
                <w:lang w:val="en-US" w:eastAsia="zh-CN" w:bidi="ar-SA"/>
              </w:rPr>
              <w:t>2层设置窗户和火点（火点上方安装防水盖板）</w:t>
            </w:r>
            <w:r>
              <w:rPr>
                <w:rFonts w:hint="eastAsia" w:ascii="宋体" w:hAnsi="宋体" w:eastAsia="宋体" w:cs="宋体"/>
                <w:kern w:val="2"/>
                <w:sz w:val="24"/>
                <w:szCs w:val="24"/>
                <w:highlight w:val="none"/>
                <w:lang w:val="en-US" w:eastAsia="zh-CN" w:bidi="ar-SA"/>
              </w:rPr>
              <w:t>：</w:t>
            </w:r>
          </w:p>
          <w:p w14:paraId="36824CF3">
            <w:pPr>
              <w:numPr>
                <w:ilvl w:val="0"/>
                <w:numId w:val="4"/>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采用双层及以上结构，箱体数量不少于2个；</w:t>
            </w:r>
          </w:p>
          <w:p w14:paraId="12D92FCE">
            <w:pPr>
              <w:numPr>
                <w:ilvl w:val="0"/>
                <w:numId w:val="4"/>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可与其他模块共用箱体</w:t>
            </w:r>
          </w:p>
        </w:tc>
      </w:tr>
      <w:tr w14:paraId="2AF4634F">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280"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5E709D86">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分类实训</w:t>
            </w:r>
          </w:p>
        </w:tc>
        <w:tc>
          <w:tcPr>
            <w:tcW w:w="1340"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6D0D0A41">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门控技术训练模块</w:t>
            </w:r>
          </w:p>
        </w:tc>
        <w:tc>
          <w:tcPr>
            <w:tcW w:w="269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5B52CF67">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能够模拟密闭房间燃烧场景</w:t>
            </w:r>
          </w:p>
        </w:tc>
        <w:tc>
          <w:tcPr>
            <w:tcW w:w="422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055B653F">
            <w:pPr>
              <w:numPr>
                <w:ilvl w:val="0"/>
                <w:numId w:val="5"/>
              </w:numPr>
              <w:spacing w:before="120" w:after="120" w:line="288" w:lineRule="auto"/>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门框可架设挡烟帘；</w:t>
            </w:r>
          </w:p>
          <w:p w14:paraId="20507A60">
            <w:pPr>
              <w:numPr>
                <w:ilvl w:val="0"/>
                <w:numId w:val="5"/>
              </w:numPr>
              <w:spacing w:before="120" w:after="120" w:line="288" w:lineRule="auto"/>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采用单层结构，箱体数量不少于1个；</w:t>
            </w:r>
          </w:p>
          <w:p w14:paraId="597798CD">
            <w:pPr>
              <w:numPr>
                <w:ilvl w:val="0"/>
                <w:numId w:val="5"/>
              </w:numPr>
              <w:spacing w:before="120" w:after="120" w:line="288" w:lineRule="auto"/>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可与其他模块共用箱体</w:t>
            </w:r>
          </w:p>
        </w:tc>
      </w:tr>
      <w:tr w14:paraId="7AAF7CFA">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280"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289F109F">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分类实训</w:t>
            </w:r>
          </w:p>
        </w:tc>
        <w:tc>
          <w:tcPr>
            <w:tcW w:w="1340"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11A90CAB">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真烟真火适应性训练模块</w:t>
            </w:r>
          </w:p>
        </w:tc>
        <w:tc>
          <w:tcPr>
            <w:tcW w:w="269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27F1E451">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能够模拟高温、浓烟、黑暗、狭窄环境等场景</w:t>
            </w:r>
          </w:p>
        </w:tc>
        <w:tc>
          <w:tcPr>
            <w:tcW w:w="422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0A89DC24">
            <w:pPr>
              <w:numPr>
                <w:ilvl w:val="0"/>
                <w:numId w:val="6"/>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采用单层或双层结构，箱体数量不少于2个；</w:t>
            </w:r>
          </w:p>
          <w:p w14:paraId="6D6D0254">
            <w:pPr>
              <w:numPr>
                <w:ilvl w:val="0"/>
                <w:numId w:val="6"/>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燃烧室不少于1个；</w:t>
            </w:r>
          </w:p>
          <w:p w14:paraId="66EDA26B">
            <w:pPr>
              <w:numPr>
                <w:ilvl w:val="0"/>
                <w:numId w:val="6"/>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可与其他模块共用箱体</w:t>
            </w:r>
          </w:p>
        </w:tc>
      </w:tr>
      <w:tr w14:paraId="6FD9B68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280"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507886F5">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分类实训</w:t>
            </w:r>
          </w:p>
        </w:tc>
        <w:tc>
          <w:tcPr>
            <w:tcW w:w="1340"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73036BFF">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班组安全行进训练模块</w:t>
            </w:r>
          </w:p>
        </w:tc>
        <w:tc>
          <w:tcPr>
            <w:tcW w:w="269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11007B77">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能够模拟高温、浓烟、黑暗、狭窄等环境场景</w:t>
            </w:r>
          </w:p>
        </w:tc>
        <w:tc>
          <w:tcPr>
            <w:tcW w:w="422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29C3DF15">
            <w:pPr>
              <w:numPr>
                <w:ilvl w:val="0"/>
                <w:numId w:val="7"/>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内部设置狭窄通道、多组障碍、电线缠绕等装置，装置数量不少于2个；</w:t>
            </w:r>
          </w:p>
          <w:p w14:paraId="39F6EA7A">
            <w:pPr>
              <w:numPr>
                <w:ilvl w:val="0"/>
                <w:numId w:val="7"/>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采用单层或双层结构，箱体数量不少于2个；</w:t>
            </w:r>
          </w:p>
          <w:p w14:paraId="28DA8370">
            <w:pPr>
              <w:numPr>
                <w:ilvl w:val="0"/>
                <w:numId w:val="7"/>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燃烧室不少于1个；</w:t>
            </w:r>
          </w:p>
          <w:p w14:paraId="3BE34569">
            <w:pPr>
              <w:numPr>
                <w:ilvl w:val="0"/>
                <w:numId w:val="7"/>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可与其他模块共用箱体</w:t>
            </w:r>
          </w:p>
        </w:tc>
      </w:tr>
      <w:tr w14:paraId="5B84CD46">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280"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05B5B06E">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分类实训</w:t>
            </w:r>
          </w:p>
        </w:tc>
        <w:tc>
          <w:tcPr>
            <w:tcW w:w="1340"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7473499E">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红外热像仪侦察搜索训练模块</w:t>
            </w:r>
          </w:p>
        </w:tc>
        <w:tc>
          <w:tcPr>
            <w:tcW w:w="269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16C66139">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能够模拟浓烟、黑暗等环境场景</w:t>
            </w:r>
          </w:p>
        </w:tc>
        <w:tc>
          <w:tcPr>
            <w:tcW w:w="422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3A3CAE39">
            <w:pPr>
              <w:numPr>
                <w:ilvl w:val="0"/>
                <w:numId w:val="8"/>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内部设置窗帘、玻璃、家具等干扰物，干扰物数量不少于3个；</w:t>
            </w:r>
          </w:p>
          <w:p w14:paraId="145D33F5">
            <w:pPr>
              <w:numPr>
                <w:ilvl w:val="0"/>
                <w:numId w:val="8"/>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采用双层及以上结构，箱体数量不少于2个；</w:t>
            </w:r>
          </w:p>
          <w:p w14:paraId="3AF267ED">
            <w:pPr>
              <w:numPr>
                <w:ilvl w:val="0"/>
                <w:numId w:val="8"/>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可与其他模块共用箱体</w:t>
            </w:r>
          </w:p>
        </w:tc>
      </w:tr>
      <w:tr w14:paraId="5B39418C">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280"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6D18B797">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分类实训</w:t>
            </w:r>
          </w:p>
        </w:tc>
        <w:tc>
          <w:tcPr>
            <w:tcW w:w="1340"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368A5285">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火场通风排烟技术训练模块</w:t>
            </w:r>
          </w:p>
        </w:tc>
        <w:tc>
          <w:tcPr>
            <w:tcW w:w="269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6EC7053F">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能够模拟建筑单层并列、多层连通的建筑结构特点以及高温、浓烟、黑暗等环境场景</w:t>
            </w:r>
          </w:p>
        </w:tc>
        <w:tc>
          <w:tcPr>
            <w:tcW w:w="422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10806582">
            <w:pPr>
              <w:numPr>
                <w:ilvl w:val="0"/>
                <w:numId w:val="9"/>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设置内部楼梯，楼梯口配置烟气分隔板；</w:t>
            </w:r>
          </w:p>
          <w:p w14:paraId="466DC0B8">
            <w:pPr>
              <w:numPr>
                <w:ilvl w:val="0"/>
                <w:numId w:val="9"/>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并列连接的箱体之间设有连接门不少于1处；</w:t>
            </w:r>
          </w:p>
          <w:p w14:paraId="15E5C3A3">
            <w:pPr>
              <w:numPr>
                <w:ilvl w:val="0"/>
                <w:numId w:val="9"/>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采用双层及以上结构，箱体数量不少于3个；</w:t>
            </w:r>
          </w:p>
          <w:p w14:paraId="6CFC3C51">
            <w:pPr>
              <w:numPr>
                <w:ilvl w:val="0"/>
                <w:numId w:val="9"/>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燃烧室不少于1个；</w:t>
            </w:r>
          </w:p>
          <w:p w14:paraId="6AF4D32D">
            <w:pPr>
              <w:numPr>
                <w:ilvl w:val="0"/>
                <w:numId w:val="9"/>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可与其他模块共用箱体</w:t>
            </w:r>
          </w:p>
        </w:tc>
      </w:tr>
      <w:tr w14:paraId="649118D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280"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090AEBD9">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分类实训</w:t>
            </w:r>
          </w:p>
        </w:tc>
        <w:tc>
          <w:tcPr>
            <w:tcW w:w="1340"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3B32F598">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火场紧急救援程序训练模块</w:t>
            </w:r>
          </w:p>
        </w:tc>
        <w:tc>
          <w:tcPr>
            <w:tcW w:w="269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7311DAD3">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能够模拟浓烟环境场景</w:t>
            </w:r>
          </w:p>
        </w:tc>
        <w:tc>
          <w:tcPr>
            <w:tcW w:w="422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3513593D">
            <w:pPr>
              <w:numPr>
                <w:ilvl w:val="0"/>
                <w:numId w:val="10"/>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设置不少于3个发烟点；</w:t>
            </w:r>
          </w:p>
          <w:p w14:paraId="4FB51513">
            <w:pPr>
              <w:numPr>
                <w:ilvl w:val="0"/>
                <w:numId w:val="10"/>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采用双层及以上结构，箱体数量不少于3个；</w:t>
            </w:r>
          </w:p>
          <w:p w14:paraId="2642ACD0">
            <w:pPr>
              <w:numPr>
                <w:ilvl w:val="0"/>
                <w:numId w:val="10"/>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可与其他模块共用箱体</w:t>
            </w:r>
          </w:p>
        </w:tc>
      </w:tr>
      <w:tr w14:paraId="3CE09EE4">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280"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6D67D8AA">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分类实训</w:t>
            </w:r>
          </w:p>
        </w:tc>
        <w:tc>
          <w:tcPr>
            <w:tcW w:w="1340"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46C70D64">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火场紧急避险技术训练模块</w:t>
            </w:r>
          </w:p>
        </w:tc>
        <w:tc>
          <w:tcPr>
            <w:tcW w:w="269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5D97F880">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能够模拟浓烟环境场景</w:t>
            </w:r>
          </w:p>
        </w:tc>
        <w:tc>
          <w:tcPr>
            <w:tcW w:w="422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0F3C8F0C">
            <w:pPr>
              <w:numPr>
                <w:ilvl w:val="0"/>
                <w:numId w:val="11"/>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设置不少于2个发烟点；</w:t>
            </w:r>
          </w:p>
          <w:p w14:paraId="4B9A11C2">
            <w:pPr>
              <w:numPr>
                <w:ilvl w:val="0"/>
                <w:numId w:val="11"/>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层以上逃生窗均设置固定锚点；</w:t>
            </w:r>
          </w:p>
          <w:p w14:paraId="5FF415F2">
            <w:pPr>
              <w:numPr>
                <w:ilvl w:val="0"/>
                <w:numId w:val="11"/>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采用双层及以上结构，箱体数量不少于2个；</w:t>
            </w:r>
          </w:p>
          <w:p w14:paraId="2F181FCE">
            <w:pPr>
              <w:numPr>
                <w:ilvl w:val="0"/>
                <w:numId w:val="11"/>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可与其他模块共用箱体</w:t>
            </w:r>
          </w:p>
        </w:tc>
      </w:tr>
      <w:tr w14:paraId="0FBC2445">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280"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2EC89726">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场景训练</w:t>
            </w:r>
          </w:p>
        </w:tc>
        <w:tc>
          <w:tcPr>
            <w:tcW w:w="1340"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30325C43">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临街商铺内攻搜救训练模块</w:t>
            </w:r>
          </w:p>
        </w:tc>
        <w:tc>
          <w:tcPr>
            <w:tcW w:w="269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105FBF91">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能够模拟“下店上宅”“二合一”或“三合一”等场景</w:t>
            </w:r>
          </w:p>
        </w:tc>
        <w:tc>
          <w:tcPr>
            <w:tcW w:w="422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2BDE5CCA">
            <w:pPr>
              <w:numPr>
                <w:ilvl w:val="0"/>
                <w:numId w:val="12"/>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内部设置夹层、隔断、仓库等区域；</w:t>
            </w:r>
          </w:p>
          <w:p w14:paraId="0D555D2D">
            <w:pPr>
              <w:numPr>
                <w:ilvl w:val="0"/>
                <w:numId w:val="12"/>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移动火点不少于3处，其中1处火点设置在楼梯下方；</w:t>
            </w:r>
          </w:p>
          <w:p w14:paraId="30B320CE">
            <w:pPr>
              <w:numPr>
                <w:ilvl w:val="0"/>
                <w:numId w:val="12"/>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采用双层及以上结构，箱体数量不少于3个；</w:t>
            </w:r>
          </w:p>
          <w:p w14:paraId="6CE7737A">
            <w:pPr>
              <w:numPr>
                <w:ilvl w:val="0"/>
                <w:numId w:val="12"/>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燃烧室不少于1个；</w:t>
            </w:r>
          </w:p>
          <w:p w14:paraId="5775034A">
            <w:pPr>
              <w:numPr>
                <w:ilvl w:val="0"/>
                <w:numId w:val="12"/>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内部训练总长度不少于40m；</w:t>
            </w:r>
          </w:p>
          <w:p w14:paraId="0A5865D8">
            <w:pPr>
              <w:numPr>
                <w:ilvl w:val="0"/>
                <w:numId w:val="12"/>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可与其他模块共用箱体</w:t>
            </w:r>
          </w:p>
        </w:tc>
      </w:tr>
      <w:tr w14:paraId="34CEF889">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280"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48301356">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场景训练</w:t>
            </w:r>
          </w:p>
        </w:tc>
        <w:tc>
          <w:tcPr>
            <w:tcW w:w="1340"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587592EA">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长距离内攻搜救训练模块</w:t>
            </w:r>
          </w:p>
        </w:tc>
        <w:tc>
          <w:tcPr>
            <w:tcW w:w="269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688354DE">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能够模拟纵深距离长、通道狭窄、拐角多的场景</w:t>
            </w:r>
          </w:p>
        </w:tc>
        <w:tc>
          <w:tcPr>
            <w:tcW w:w="422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19A6F24C">
            <w:pPr>
              <w:numPr>
                <w:ilvl w:val="0"/>
                <w:numId w:val="13"/>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设置可移动分隔挡板；</w:t>
            </w:r>
          </w:p>
          <w:p w14:paraId="76701B21">
            <w:pPr>
              <w:numPr>
                <w:ilvl w:val="0"/>
                <w:numId w:val="13"/>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采用单层结构，箱体数量不少于4个；</w:t>
            </w:r>
          </w:p>
          <w:p w14:paraId="58240E5E">
            <w:pPr>
              <w:numPr>
                <w:ilvl w:val="0"/>
                <w:numId w:val="13"/>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 xml:space="preserve"> 燃烧室不少于1个；</w:t>
            </w:r>
          </w:p>
          <w:p w14:paraId="58050712">
            <w:pPr>
              <w:numPr>
                <w:ilvl w:val="0"/>
                <w:numId w:val="13"/>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内部训练总长度不少于45m</w:t>
            </w:r>
            <w:r>
              <w:rPr>
                <w:rFonts w:hint="eastAsia" w:ascii="宋体" w:hAnsi="宋体" w:eastAsia="宋体" w:cs="宋体"/>
                <w:kern w:val="2"/>
                <w:sz w:val="24"/>
                <w:szCs w:val="24"/>
                <w:highlight w:val="none"/>
                <w:lang w:val="en-US" w:eastAsia="zh-CN" w:bidi="ar-SA"/>
              </w:rPr>
              <w:t>；</w:t>
            </w:r>
          </w:p>
          <w:p w14:paraId="044CDE85">
            <w:pPr>
              <w:numPr>
                <w:ilvl w:val="0"/>
                <w:numId w:val="13"/>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可与其他模块共用箱体</w:t>
            </w:r>
          </w:p>
        </w:tc>
      </w:tr>
      <w:tr w14:paraId="3B09FE48">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280"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54617BD8">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场景训练</w:t>
            </w:r>
          </w:p>
        </w:tc>
        <w:tc>
          <w:tcPr>
            <w:tcW w:w="1340"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69924DF2">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大空间内攻搜救训练模块</w:t>
            </w:r>
          </w:p>
        </w:tc>
        <w:tc>
          <w:tcPr>
            <w:tcW w:w="269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45F51853">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能够模拟面积大、空间广的建筑场景</w:t>
            </w:r>
          </w:p>
        </w:tc>
        <w:tc>
          <w:tcPr>
            <w:tcW w:w="422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47B770B7">
            <w:pPr>
              <w:numPr>
                <w:ilvl w:val="0"/>
                <w:numId w:val="14"/>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内部设置隔间数量不少于2个；</w:t>
            </w:r>
          </w:p>
          <w:p w14:paraId="2CEB259F">
            <w:pPr>
              <w:numPr>
                <w:ilvl w:val="0"/>
                <w:numId w:val="14"/>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采用单层结构，箱体数量不少于3个；</w:t>
            </w:r>
          </w:p>
          <w:p w14:paraId="5A56422B">
            <w:pPr>
              <w:numPr>
                <w:ilvl w:val="0"/>
                <w:numId w:val="14"/>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燃烧室不少于1个；</w:t>
            </w:r>
          </w:p>
          <w:p w14:paraId="489966DF">
            <w:pPr>
              <w:numPr>
                <w:ilvl w:val="0"/>
                <w:numId w:val="14"/>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箱体结合部贯通，训练面积不低于90㎡；</w:t>
            </w:r>
          </w:p>
          <w:p w14:paraId="115C0469">
            <w:pPr>
              <w:numPr>
                <w:ilvl w:val="0"/>
                <w:numId w:val="14"/>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可与其他模块共用箱体</w:t>
            </w:r>
          </w:p>
        </w:tc>
      </w:tr>
      <w:tr w14:paraId="67BFF5A3">
        <w:tblPrEx>
          <w:tblBorders>
            <w:top w:val="single" w:color="DEE0E3" w:sz="0" w:space="0"/>
            <w:left w:val="single" w:color="DEE0E3" w:sz="0" w:space="0"/>
            <w:bottom w:val="single" w:color="DEE0E3" w:sz="0" w:space="0"/>
            <w:right w:val="single" w:color="DEE0E3" w:sz="0" w:space="0"/>
            <w:insideH w:val="single" w:color="DEE0E3" w:sz="0" w:space="0"/>
            <w:insideV w:val="single" w:color="DEE0E3" w:sz="0" w:space="0"/>
          </w:tblBorders>
          <w:tblCellMar>
            <w:top w:w="0" w:type="dxa"/>
            <w:left w:w="10" w:type="dxa"/>
            <w:bottom w:w="0" w:type="dxa"/>
            <w:right w:w="10" w:type="dxa"/>
          </w:tblCellMar>
        </w:tblPrEx>
        <w:tc>
          <w:tcPr>
            <w:tcW w:w="1280"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7B3275B0">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场景训练</w:t>
            </w:r>
          </w:p>
        </w:tc>
        <w:tc>
          <w:tcPr>
            <w:tcW w:w="1340"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705A2A3E">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地下建筑内攻搜救训练模块</w:t>
            </w:r>
          </w:p>
        </w:tc>
        <w:tc>
          <w:tcPr>
            <w:tcW w:w="269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0E42C63B">
            <w:p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能够模拟地下建筑火灾高温烟气流动场景</w:t>
            </w:r>
          </w:p>
        </w:tc>
        <w:tc>
          <w:tcPr>
            <w:tcW w:w="4225" w:type="dxa"/>
            <w:tcBorders>
              <w:top w:val="single" w:color="auto" w:sz="4" w:space="0"/>
              <w:left w:val="single" w:color="auto" w:sz="4" w:space="0"/>
              <w:bottom w:val="single" w:color="auto" w:sz="4" w:space="0"/>
              <w:right w:val="single" w:color="auto" w:sz="4" w:space="0"/>
            </w:tcBorders>
            <w:noWrap w:val="0"/>
            <w:tcMar>
              <w:top w:w="60" w:type="dxa"/>
              <w:left w:w="120" w:type="dxa"/>
              <w:bottom w:w="30" w:type="dxa"/>
              <w:right w:w="120" w:type="dxa"/>
            </w:tcMar>
            <w:vAlign w:val="top"/>
          </w:tcPr>
          <w:p w14:paraId="3B6DA629">
            <w:pPr>
              <w:numPr>
                <w:ilvl w:val="0"/>
                <w:numId w:val="15"/>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设置内部楼梯，楼梯口设置烟气分隔板；</w:t>
            </w:r>
          </w:p>
          <w:p w14:paraId="7A507C57">
            <w:pPr>
              <w:numPr>
                <w:ilvl w:val="0"/>
                <w:numId w:val="15"/>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采用3层结构，箱体数量不少于5个；</w:t>
            </w:r>
          </w:p>
          <w:p w14:paraId="4871A260">
            <w:pPr>
              <w:numPr>
                <w:ilvl w:val="0"/>
                <w:numId w:val="15"/>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燃烧室不少于2个；</w:t>
            </w:r>
          </w:p>
          <w:p w14:paraId="7543ADC9">
            <w:pPr>
              <w:numPr>
                <w:ilvl w:val="0"/>
                <w:numId w:val="15"/>
              </w:numPr>
              <w:spacing w:before="120" w:after="120" w:line="288" w:lineRule="auto"/>
              <w:ind w:left="0"/>
              <w:jc w:val="left"/>
              <w:rPr>
                <w:rFonts w:hint="default" w:ascii="宋体" w:hAnsi="宋体" w:eastAsia="宋体" w:cs="宋体"/>
                <w:kern w:val="2"/>
                <w:sz w:val="24"/>
                <w:szCs w:val="24"/>
                <w:highlight w:val="none"/>
                <w:lang w:val="en-US" w:eastAsia="zh-CN" w:bidi="ar-SA"/>
              </w:rPr>
            </w:pPr>
            <w:r>
              <w:rPr>
                <w:rFonts w:hint="default" w:ascii="宋体" w:hAnsi="宋体" w:eastAsia="宋体" w:cs="宋体"/>
                <w:kern w:val="2"/>
                <w:sz w:val="24"/>
                <w:szCs w:val="24"/>
                <w:highlight w:val="none"/>
                <w:lang w:val="en-US" w:eastAsia="zh-CN" w:bidi="ar-SA"/>
              </w:rPr>
              <w:t>可与其他模块共用箱体</w:t>
            </w:r>
          </w:p>
        </w:tc>
      </w:tr>
    </w:tbl>
    <w:p w14:paraId="134483A8">
      <w:pPr>
        <w:pStyle w:val="18"/>
        <w:numPr>
          <w:ilvl w:val="0"/>
          <w:numId w:val="0"/>
        </w:numPr>
        <w:ind w:leftChars="200"/>
        <w:rPr>
          <w:rFonts w:hint="default"/>
          <w:highlight w:val="none"/>
          <w:lang w:val="en-US" w:eastAsia="zh-CN"/>
        </w:rPr>
      </w:pPr>
    </w:p>
    <w:p w14:paraId="12F925B8">
      <w:pPr>
        <w:pStyle w:val="34"/>
        <w:keepNext w:val="0"/>
        <w:keepLines w:val="0"/>
        <w:pageBreakBefore w:val="0"/>
        <w:widowControl w:val="0"/>
        <w:numPr>
          <w:ilvl w:val="0"/>
          <w:numId w:val="16"/>
        </w:numPr>
        <w:kinsoku/>
        <w:wordWrap/>
        <w:overflowPunct/>
        <w:topLinePunct w:val="0"/>
        <w:autoSpaceDE/>
        <w:autoSpaceDN/>
        <w:bidi w:val="0"/>
        <w:adjustRightInd/>
        <w:snapToGrid/>
        <w:spacing w:after="40" w:line="360" w:lineRule="auto"/>
        <w:ind w:firstLine="482" w:firstLineChars="200"/>
        <w:jc w:val="both"/>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w:t>
      </w:r>
      <w:r>
        <w:rPr>
          <w:rFonts w:hint="eastAsia" w:ascii="宋体" w:hAnsi="宋体" w:eastAsia="宋体" w:cs="宋体"/>
          <w:kern w:val="2"/>
          <w:sz w:val="24"/>
          <w:szCs w:val="24"/>
          <w:highlight w:val="none"/>
          <w:lang w:val="en-US" w:eastAsia="zh-CN" w:bidi="ar-SA"/>
        </w:rPr>
        <w:t>设计技术</w:t>
      </w:r>
    </w:p>
    <w:p w14:paraId="65BFCC6D">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1.建设方式：采用1EEE箱型集装箱堆叠组合，结合辖区建筑特点和实战训练需要优化设计。</w:t>
      </w:r>
    </w:p>
    <w:p w14:paraId="7AF787C1">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2.基础设置：</w:t>
      </w:r>
    </w:p>
    <w:p w14:paraId="53931C7E">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lang w:val="en-US" w:eastAsia="zh-CN"/>
        </w:rPr>
        <w:t>1设置内、外楼梯、平台和训练展开面，每层箱体至少2个出入口可到达平台；</w:t>
      </w:r>
    </w:p>
    <w:p w14:paraId="797F215D">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lang w:val="en-US" w:eastAsia="zh-CN"/>
        </w:rPr>
        <w:t>2门、窗、楼梯、阳台、障碍、通道等无尖锐突出物和锐利边缘。</w:t>
      </w:r>
    </w:p>
    <w:p w14:paraId="0BF2FEEF">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3.结构要求：</w:t>
      </w:r>
    </w:p>
    <w:p w14:paraId="0ED7891C">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1结构稳定，组合式设施的连接部位需特殊设计和加固，确保在火灾高温和训练使用过程中整体稳定；</w:t>
      </w:r>
    </w:p>
    <w:p w14:paraId="5722D55A">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2外表面做防腐蚀处理。</w:t>
      </w:r>
    </w:p>
    <w:p w14:paraId="334432E8">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4.排水要求：</w:t>
      </w:r>
    </w:p>
    <w:p w14:paraId="436935D2">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lang w:val="en-US" w:eastAsia="zh-CN"/>
        </w:rPr>
        <w:t>1整体抬高建设，内部地面做防滑处理并设计排水（污）槽，通过排水（污）管道引至室外；</w:t>
      </w:r>
    </w:p>
    <w:p w14:paraId="4B1A4A14">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lang w:val="en-US" w:eastAsia="zh-CN"/>
        </w:rPr>
        <w:t>2排水（污）槽满足训练时的喷射流量要求。</w:t>
      </w:r>
    </w:p>
    <w:p w14:paraId="72860500">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5.顶面要求：若外顶面作为训练区域，需做平面硬化、防滑处理。</w:t>
      </w:r>
    </w:p>
    <w:p w14:paraId="13044AE5">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6.周边地面：平整、无尖锐凸起、无开裂风险。</w:t>
      </w:r>
    </w:p>
    <w:p w14:paraId="32E96850">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7.供水要求：训练设施周围设有室外消火栓或不少于50m³的消防水池。</w:t>
      </w:r>
    </w:p>
    <w:p w14:paraId="3991BB45">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8.清洗要求：附近设置室外喷淋清洗装置。</w:t>
      </w:r>
    </w:p>
    <w:p w14:paraId="702A3840">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9.燃烧室参数：</w:t>
      </w:r>
    </w:p>
    <w:p w14:paraId="27E325CE">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9.</w:t>
      </w:r>
      <w:r>
        <w:rPr>
          <w:rFonts w:hint="eastAsia" w:ascii="宋体" w:hAnsi="宋体" w:eastAsia="宋体" w:cs="宋体"/>
          <w:sz w:val="24"/>
          <w:szCs w:val="24"/>
          <w:highlight w:val="none"/>
          <w:lang w:val="en-US" w:eastAsia="zh-CN"/>
        </w:rPr>
        <w:t>1尺寸不小于3m×2m；</w:t>
      </w:r>
    </w:p>
    <w:p w14:paraId="192D20B2">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9.</w:t>
      </w:r>
      <w:r>
        <w:rPr>
          <w:rFonts w:hint="eastAsia" w:ascii="宋体" w:hAnsi="宋体" w:eastAsia="宋体" w:cs="宋体"/>
          <w:sz w:val="24"/>
          <w:szCs w:val="24"/>
          <w:highlight w:val="none"/>
          <w:lang w:val="en-US" w:eastAsia="zh-CN"/>
        </w:rPr>
        <w:t>2.宜放置在一层；</w:t>
      </w:r>
    </w:p>
    <w:p w14:paraId="20C907C0">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9.</w:t>
      </w:r>
      <w:r>
        <w:rPr>
          <w:rFonts w:hint="eastAsia" w:ascii="宋体" w:hAnsi="宋体" w:eastAsia="宋体" w:cs="宋体"/>
          <w:sz w:val="24"/>
          <w:szCs w:val="24"/>
          <w:highlight w:val="none"/>
          <w:lang w:val="en-US" w:eastAsia="zh-CN"/>
        </w:rPr>
        <w:t>3.燃烧方式可采用燃木：</w:t>
      </w:r>
    </w:p>
    <w:p w14:paraId="75F430D7">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燃木方式：燃烧室四周墙壁、顶棚设有链条或卡榫等固定装置（用于堆垛木柴），移动燃料架尺寸不小于100cm×100cm，离地面不低于30cm；</w:t>
      </w:r>
    </w:p>
    <w:p w14:paraId="7711CC6A">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10.水带输送口：底层安全出口底部设置水带专用输送口，高度不低于20cm，并做遮光处理。</w:t>
      </w:r>
    </w:p>
    <w:p w14:paraId="461B50A7">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三</w:t>
      </w:r>
      <w:r>
        <w:rPr>
          <w:rFonts w:hint="eastAsia" w:ascii="宋体" w:hAnsi="宋体" w:eastAsia="宋体" w:cs="宋体"/>
          <w:sz w:val="24"/>
          <w:szCs w:val="24"/>
          <w:highlight w:val="none"/>
          <w:lang w:val="en-US" w:eastAsia="zh-CN"/>
        </w:rPr>
        <w:t>）</w:t>
      </w:r>
      <w:r>
        <w:rPr>
          <w:rFonts w:hint="eastAsia" w:ascii="宋体" w:hAnsi="宋体" w:eastAsia="宋体" w:cs="宋体"/>
          <w:b/>
          <w:bCs/>
          <w:kern w:val="2"/>
          <w:sz w:val="24"/>
          <w:szCs w:val="24"/>
          <w:highlight w:val="none"/>
          <w:lang w:val="en-US" w:eastAsia="zh-CN" w:bidi="ar-SA"/>
        </w:rPr>
        <w:t>▲</w:t>
      </w:r>
      <w:r>
        <w:rPr>
          <w:rFonts w:hint="eastAsia" w:ascii="宋体" w:hAnsi="宋体" w:eastAsia="宋体" w:cs="宋体"/>
          <w:sz w:val="24"/>
          <w:szCs w:val="24"/>
          <w:highlight w:val="none"/>
          <w:lang w:val="en-US" w:eastAsia="zh-CN"/>
        </w:rPr>
        <w:t>安全技术参数</w:t>
      </w:r>
    </w:p>
    <w:p w14:paraId="681E324E">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1.通行要求：内净空高度不小于2.25m，内部通道宽度满足人员训练和消防器材通行需求。</w:t>
      </w:r>
    </w:p>
    <w:p w14:paraId="29DE0AE0">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2.逃生要求：</w:t>
      </w:r>
    </w:p>
    <w:p w14:paraId="4B91DB0F">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lang w:val="en-US" w:eastAsia="zh-CN"/>
        </w:rPr>
        <w:t>1设置与外部通道相连且双向启闭的安全出口或逃生窗；</w:t>
      </w:r>
    </w:p>
    <w:p w14:paraId="5E2A565A">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lang w:val="en-US" w:eastAsia="zh-CN"/>
        </w:rPr>
        <w:t>2安全出口宽度不小于0.9m，逃生窗宽度和高度均不小于1m；</w:t>
      </w:r>
    </w:p>
    <w:p w14:paraId="5D225790">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lang w:val="en-US" w:eastAsia="zh-CN"/>
        </w:rPr>
        <w:t>3设施内任一点至最近安全出口或逃生窗的直线距离不超过6m。</w:t>
      </w:r>
    </w:p>
    <w:p w14:paraId="4DE52205">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3.材料要求：</w:t>
      </w:r>
    </w:p>
    <w:p w14:paraId="6CA56314">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1燃烧室的顶棚、墙壁、地板装修材料采用耐火保温材料，可承受800℃高温，耐火极限不低于2h；</w:t>
      </w:r>
    </w:p>
    <w:p w14:paraId="1F093F89">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2其他区域装修材料为不燃材料，表面防水且耐冲击；</w:t>
      </w:r>
    </w:p>
    <w:p w14:paraId="34618661">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lang w:val="en-US" w:eastAsia="zh-CN"/>
        </w:rPr>
        <w:t>3门窗及其框架为不燃材料，在高温或温度急速交替变化情况下可正常启闭。</w:t>
      </w:r>
    </w:p>
    <w:p w14:paraId="13B10A26">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4.探测与监控：</w:t>
      </w:r>
    </w:p>
    <w:p w14:paraId="60BA9723">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lang w:val="en-US" w:eastAsia="zh-CN"/>
        </w:rPr>
        <w:t>1火灾发展进程演示模块和回燃现象演示模块设置温度探测装置，数量不少于3个；</w:t>
      </w:r>
    </w:p>
    <w:p w14:paraId="792951B7">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lang w:val="en-US" w:eastAsia="zh-CN"/>
        </w:rPr>
        <w:t>2采用燃气方式的燃烧室设置气体探测装置，数量不少于2个，位置分别在中线位置距地面1米处和顶棚处；</w:t>
      </w:r>
    </w:p>
    <w:p w14:paraId="6B0E3752">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lang w:val="en-US" w:eastAsia="zh-CN"/>
        </w:rPr>
        <w:t>3设置视频监控装置，具备红外和可见光两种功能，监控范围覆盖全部训练区域，优先配置无线传输型视频监控装置。</w:t>
      </w:r>
    </w:p>
    <w:p w14:paraId="2A744275">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5.排烟要求：设置排烟装置，启动1min后训练设施内的能见度不小于6m，优先采用自然排烟方式。</w:t>
      </w:r>
    </w:p>
    <w:p w14:paraId="2EF632C9">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6.数据管理：温度探测装置、气体探测装置、视频监控装置具备远程显示及数据储存功能。</w:t>
      </w:r>
    </w:p>
    <w:p w14:paraId="542C1718">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7.电气要求：选用的电气设备适配使用区域可能存在的爆炸性环境、高温条件及潮湿状况，确保稳定安全运行。</w:t>
      </w:r>
    </w:p>
    <w:p w14:paraId="290E2049">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r>
        <w:rPr>
          <w:rFonts w:hint="eastAsia" w:ascii="宋体" w:hAnsi="宋体" w:cs="宋体"/>
          <w:sz w:val="24"/>
          <w:szCs w:val="24"/>
          <w:highlight w:val="none"/>
          <w:lang w:val="en-US" w:eastAsia="zh-CN"/>
        </w:rPr>
        <w:t>四</w:t>
      </w:r>
      <w:r>
        <w:rPr>
          <w:rFonts w:hint="eastAsia" w:ascii="宋体" w:hAnsi="宋体" w:eastAsia="宋体" w:cs="宋体"/>
          <w:sz w:val="24"/>
          <w:szCs w:val="24"/>
          <w:highlight w:val="none"/>
          <w:lang w:val="en-US" w:eastAsia="zh-CN"/>
        </w:rPr>
        <w:t>）其他要求</w:t>
      </w:r>
    </w:p>
    <w:p w14:paraId="3B3DC7AD">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1.模块拓展：支持结合凉山州辖区火灾扑救实战需要，预留模块拓展接口，可增加相应训练模块、模拟特殊火灾现场场景。</w:t>
      </w:r>
    </w:p>
    <w:p w14:paraId="2C8D6578">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2.模块共用：分类实训模块与场景训练模块按要求合理共用箱体，优化空间利用。</w:t>
      </w:r>
    </w:p>
    <w:p w14:paraId="054812F3">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3.合规性：所有建设内容需符合《室内烟火特性训练设施建设指南（征求意见稿）》及国家现行有关标准、规范。</w:t>
      </w:r>
    </w:p>
    <w:p w14:paraId="36AF89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4.建设目标：构建全流程、实战化室内火灾训练场景，满足消防救援队伍建筑火灾内攻技术训练需求，全面提升队伍应对各类室内火灾的实战处置能力、协同配合能力及紧急避险能力。</w:t>
      </w:r>
    </w:p>
    <w:p w14:paraId="629AED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5.</w:t>
      </w:r>
      <w:r>
        <w:rPr>
          <w:rFonts w:hint="default" w:ascii="宋体" w:hAnsi="宋体" w:eastAsia="宋体" w:cs="宋体"/>
          <w:kern w:val="2"/>
          <w:sz w:val="24"/>
          <w:szCs w:val="24"/>
          <w:highlight w:val="none"/>
          <w:lang w:val="en-US" w:eastAsia="zh-CN" w:bidi="ar-SA"/>
        </w:rPr>
        <w:t>训练承载量</w:t>
      </w:r>
      <w:r>
        <w:rPr>
          <w:rFonts w:hint="eastAsia" w:ascii="宋体" w:hAnsi="宋体" w:eastAsia="宋体" w:cs="宋体"/>
          <w:kern w:val="2"/>
          <w:sz w:val="24"/>
          <w:szCs w:val="24"/>
          <w:highlight w:val="none"/>
          <w:lang w:val="en-US" w:eastAsia="zh-CN" w:bidi="ar-SA"/>
        </w:rPr>
        <w:t>：至少满足2组人员同时开展训练。</w:t>
      </w:r>
    </w:p>
    <w:p w14:paraId="612D5C4A">
      <w:pPr>
        <w:pStyle w:val="538"/>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6.质量要求：</w:t>
      </w:r>
    </w:p>
    <w:p w14:paraId="7250C182">
      <w:pPr>
        <w:pStyle w:val="538"/>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6.1供应商所提供的所有产品均须符合国家产品的有关质量标准，产品须是全新的、出厂后未开封使用过的产品，且权属清楚，不得侵害他人的知识产权；</w:t>
      </w:r>
    </w:p>
    <w:p w14:paraId="63F3DBF6">
      <w:pPr>
        <w:pStyle w:val="538"/>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6.2货物制造质量出现问题，供应商应负责三包（包修、包换、包退），费用由供应商承担。</w:t>
      </w:r>
    </w:p>
    <w:p w14:paraId="661B2A21">
      <w:pPr>
        <w:pStyle w:val="538"/>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6.3供应商须负责产品的安装调试及所需辅材，保证达到交付即用的效果。</w:t>
      </w:r>
    </w:p>
    <w:p w14:paraId="1FA2C7C3">
      <w:pPr>
        <w:pStyle w:val="538"/>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7.安全要求：本项目自签订合同之日起至项目完成之日止，供应商将负责该项目实施过程中的人身安全、财产安全等一切安全责任。在项目实施过程中造成的直接或间接损失，均由投标人自行承担。</w:t>
      </w:r>
    </w:p>
    <w:p w14:paraId="3142D574">
      <w:pPr>
        <w:pStyle w:val="538"/>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8.质保期内，产品使用过程中发生因质量问题而引起的安全事故，供应商应承担由此引起的相应责任。</w:t>
      </w:r>
    </w:p>
    <w:p w14:paraId="3597E3D1">
      <w:pPr>
        <w:pStyle w:val="538"/>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9.产品如果涉及CCC认证产品或国家有其他强制要求的，须承诺成交后交货前提供相关强制认证证书复印件给采购人。</w:t>
      </w:r>
      <w:r>
        <w:rPr>
          <w:rFonts w:hint="eastAsia" w:ascii="宋体" w:hAnsi="宋体" w:eastAsia="宋体" w:cs="宋体"/>
          <w:b/>
          <w:bCs/>
          <w:color w:val="auto"/>
          <w:kern w:val="2"/>
          <w:sz w:val="24"/>
          <w:szCs w:val="24"/>
          <w:highlight w:val="none"/>
          <w:lang w:val="en-US" w:eastAsia="zh-CN" w:bidi="ar-SA"/>
        </w:rPr>
        <w:t>（提供承诺函，格式自拟）</w:t>
      </w:r>
      <w:r>
        <w:rPr>
          <w:rFonts w:hint="eastAsia" w:ascii="宋体" w:hAnsi="宋体" w:eastAsia="宋体" w:cs="宋体"/>
          <w:color w:val="auto"/>
          <w:kern w:val="2"/>
          <w:sz w:val="24"/>
          <w:szCs w:val="24"/>
          <w:highlight w:val="none"/>
          <w:lang w:val="en-US" w:eastAsia="zh-CN" w:bidi="ar-SA"/>
        </w:rPr>
        <w:t>。</w:t>
      </w:r>
    </w:p>
    <w:p w14:paraId="7A385881">
      <w:pPr>
        <w:pStyle w:val="538"/>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10.不可因未了解项目现场情况而放弃中标不履行成交供应商义务。如因成交供应商不能正常履约，给采购人造成任何损失的，采购人将保留进一步追溯的权利，并要求成交供应商赔偿由此带来的所有损失；如放弃，所产生的后果按照政府采购相关法律法规执行。</w:t>
      </w:r>
    </w:p>
    <w:p w14:paraId="7F62788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11.供应商报价应是最终验收合格后的总价，包含货物、辅材、包装、运输、质保期内的售后服务、安装调试、人工工资及利润等完成本项目所需的一切费用，采购人不再支付其他任何费用，如出现因报价估算错误等引起的损失由供应商自行承担。</w:t>
      </w:r>
    </w:p>
    <w:p w14:paraId="7F6FB1C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附件一：《室内烟火特性训练设施建设指南（征求意见稿）》</w:t>
      </w:r>
    </w:p>
    <w:p w14:paraId="1A79C72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三、▲商务要求</w:t>
      </w:r>
    </w:p>
    <w:p w14:paraId="5882FD41">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bookmarkStart w:id="170" w:name="heading_16"/>
      <w:r>
        <w:rPr>
          <w:rFonts w:hint="eastAsia" w:ascii="宋体" w:hAnsi="宋体" w:eastAsia="宋体" w:cs="宋体"/>
          <w:sz w:val="24"/>
          <w:szCs w:val="24"/>
          <w:highlight w:val="none"/>
          <w:lang w:val="en-US" w:eastAsia="zh-CN"/>
        </w:rPr>
        <w:t>（一）交付要求</w:t>
      </w:r>
      <w:bookmarkEnd w:id="170"/>
    </w:p>
    <w:p w14:paraId="20FD159B">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交付期限：合同签订后7个日历天内完成设施的设计，60个日历天内完成安装、调试并达到验收条件；</w:t>
      </w:r>
    </w:p>
    <w:p w14:paraId="51528183">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交付地点：凉山州消防救援支队指定场地；</w:t>
      </w:r>
    </w:p>
    <w:p w14:paraId="3041E4F5">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交付内容：完整的室内烟火特性训练设施及相关技术资料（包括但不限于设计图纸、产品合格证、使用说明书、维护手册等）。</w:t>
      </w:r>
    </w:p>
    <w:p w14:paraId="45683D4B">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bookmarkStart w:id="171" w:name="heading_17"/>
      <w:r>
        <w:rPr>
          <w:rFonts w:hint="eastAsia" w:ascii="宋体" w:hAnsi="宋体" w:eastAsia="宋体" w:cs="宋体"/>
          <w:sz w:val="24"/>
          <w:szCs w:val="24"/>
          <w:highlight w:val="none"/>
          <w:lang w:val="en-US" w:eastAsia="zh-CN"/>
        </w:rPr>
        <w:t>（二）验收要求</w:t>
      </w:r>
      <w:bookmarkEnd w:id="171"/>
    </w:p>
    <w:p w14:paraId="46DABC4A">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验收标准：按照本项目采购需求、《室内烟火特性训练设施建设指南（征求意见稿）》及国家现行有关标准、规范执行；</w:t>
      </w:r>
    </w:p>
    <w:p w14:paraId="412EFCE3">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验收程序：供应商完成建设后提交验收申请，采购单位组织相关专业人员进行验收，必要时可委托第三方专业机构进行检测验收；</w:t>
      </w:r>
    </w:p>
    <w:p w14:paraId="73432214">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验收内容：包括设施的结构稳定性、各训练模块功能实现情况、安全技术参数达标情况、材料质量、设备运行状况等。</w:t>
      </w:r>
    </w:p>
    <w:p w14:paraId="11C3AEAA">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bookmarkStart w:id="172" w:name="heading_18"/>
      <w:r>
        <w:rPr>
          <w:rFonts w:hint="eastAsia" w:ascii="宋体" w:hAnsi="宋体" w:eastAsia="宋体" w:cs="宋体"/>
          <w:sz w:val="24"/>
          <w:szCs w:val="24"/>
          <w:highlight w:val="none"/>
          <w:lang w:val="en-US" w:eastAsia="zh-CN"/>
        </w:rPr>
        <w:t>（三）、售后服务要求</w:t>
      </w:r>
      <w:bookmarkEnd w:id="172"/>
    </w:p>
    <w:p w14:paraId="56F12CC5">
      <w:pPr>
        <w:pStyle w:val="1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质保期：自验收合格之日起不少于1年，质保期内供应商应提供免费维修、保养服务；</w:t>
      </w:r>
    </w:p>
    <w:p w14:paraId="42D15640">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 xml:space="preserve">   （四）、支付方式：合同签订后，采购人收到中标人出具的完税发票及凭证资料，支付合同总金额的30.00%；交货并验收合格后，中标人须向采购人出具合法有效完整的完税发票及凭证资料，支付合同总金额的65.00%，剩余5%一年后支付。</w:t>
      </w:r>
    </w:p>
    <w:p w14:paraId="3C102507">
      <w:pPr>
        <w:jc w:val="both"/>
        <w:rPr>
          <w:rFonts w:hint="eastAsia" w:ascii="宋体" w:hAnsi="宋体" w:eastAsia="宋体" w:cs="宋体"/>
          <w:sz w:val="24"/>
          <w:szCs w:val="24"/>
          <w:highlight w:val="none"/>
          <w:lang w:val="en-US" w:eastAsia="zh-CN"/>
        </w:rPr>
      </w:pPr>
    </w:p>
    <w:p w14:paraId="5A0134DA">
      <w:pPr>
        <w:jc w:val="both"/>
        <w:rPr>
          <w:rFonts w:hint="default" w:ascii="宋体" w:hAnsi="宋体" w:eastAsia="宋体" w:cs="宋体"/>
          <w:b/>
          <w:bCs/>
          <w:sz w:val="24"/>
          <w:szCs w:val="24"/>
          <w:highlight w:val="none"/>
          <w:lang w:val="en-US" w:eastAsia="zh-CN"/>
        </w:rPr>
      </w:pPr>
      <w:r>
        <w:rPr>
          <w:rFonts w:hint="eastAsia" w:ascii="宋体" w:hAnsi="宋体" w:eastAsia="宋体" w:cs="宋体"/>
          <w:b/>
          <w:bCs/>
          <w:color w:val="auto"/>
          <w:kern w:val="2"/>
          <w:sz w:val="24"/>
          <w:szCs w:val="32"/>
          <w:highlight w:val="none"/>
          <w:lang w:val="en-US" w:eastAsia="zh-CN" w:bidi="ar-SA"/>
        </w:rPr>
        <w:t>注：</w:t>
      </w:r>
      <w:r>
        <w:rPr>
          <w:rFonts w:hint="eastAsia" w:ascii="宋体" w:hAnsi="宋体" w:eastAsia="宋体" w:cs="宋体"/>
          <w:b/>
          <w:bCs/>
          <w:color w:val="auto"/>
          <w:kern w:val="0"/>
          <w:sz w:val="24"/>
          <w:highlight w:val="none"/>
          <w:lang w:bidi="ar"/>
        </w:rPr>
        <w:t>内容中标注“</w:t>
      </w:r>
      <w:r>
        <w:rPr>
          <w:rFonts w:hint="eastAsia" w:ascii="宋体" w:hAnsi="宋体" w:eastAsia="宋体" w:cs="宋体"/>
          <w:b/>
          <w:bCs/>
          <w:kern w:val="2"/>
          <w:sz w:val="24"/>
          <w:szCs w:val="24"/>
          <w:highlight w:val="none"/>
          <w:lang w:val="en-US" w:eastAsia="zh-CN" w:bidi="ar-SA"/>
        </w:rPr>
        <w:t>▲</w:t>
      </w:r>
      <w:r>
        <w:rPr>
          <w:rFonts w:hint="eastAsia" w:ascii="宋体" w:hAnsi="宋体" w:eastAsia="宋体" w:cs="宋体"/>
          <w:b/>
          <w:bCs/>
          <w:color w:val="auto"/>
          <w:kern w:val="0"/>
          <w:sz w:val="24"/>
          <w:highlight w:val="none"/>
          <w:lang w:bidi="ar"/>
        </w:rPr>
        <w:t>”项为本项目的实质性要求，不允许有负偏离，否则其</w:t>
      </w:r>
      <w:r>
        <w:rPr>
          <w:rFonts w:hint="eastAsia" w:ascii="宋体" w:hAnsi="宋体" w:eastAsia="宋体" w:cs="宋体"/>
          <w:b/>
          <w:bCs/>
          <w:color w:val="auto"/>
          <w:kern w:val="0"/>
          <w:sz w:val="24"/>
          <w:highlight w:val="none"/>
          <w:lang w:val="en-US" w:eastAsia="zh-CN" w:bidi="ar"/>
        </w:rPr>
        <w:t>投标</w:t>
      </w:r>
      <w:r>
        <w:rPr>
          <w:rFonts w:hint="eastAsia" w:ascii="宋体" w:hAnsi="宋体" w:eastAsia="宋体" w:cs="宋体"/>
          <w:b/>
          <w:bCs/>
          <w:color w:val="auto"/>
          <w:kern w:val="0"/>
          <w:sz w:val="24"/>
          <w:highlight w:val="none"/>
          <w:lang w:bidi="ar"/>
        </w:rPr>
        <w:t>文件作无效处理</w:t>
      </w:r>
      <w:r>
        <w:rPr>
          <w:rFonts w:hint="eastAsia" w:ascii="宋体" w:hAnsi="宋体" w:eastAsia="宋体" w:cs="宋体"/>
          <w:b/>
          <w:bCs/>
          <w:color w:val="auto"/>
          <w:kern w:val="0"/>
          <w:sz w:val="24"/>
          <w:highlight w:val="none"/>
          <w:lang w:eastAsia="zh-CN" w:bidi="ar"/>
        </w:rPr>
        <w:t>，</w:t>
      </w:r>
      <w:r>
        <w:rPr>
          <w:rFonts w:hint="eastAsia" w:ascii="宋体" w:hAnsi="宋体" w:eastAsia="宋体" w:cs="宋体"/>
          <w:b/>
          <w:bCs/>
          <w:color w:val="auto"/>
          <w:kern w:val="0"/>
          <w:sz w:val="24"/>
          <w:highlight w:val="none"/>
          <w:lang w:val="en-US" w:eastAsia="zh-CN" w:bidi="ar"/>
        </w:rPr>
        <w:t>其余参数不满足仅做扣分处理。</w:t>
      </w:r>
    </w:p>
    <w:p w14:paraId="098D5F73">
      <w:pPr>
        <w:pStyle w:val="31"/>
        <w:rPr>
          <w:rFonts w:hint="eastAsia" w:ascii="宋体" w:hAnsi="宋体" w:eastAsia="宋体" w:cs="Times New Roman"/>
          <w:b w:val="0"/>
          <w:bCs w:val="0"/>
          <w:color w:val="auto"/>
          <w:kern w:val="0"/>
          <w:sz w:val="24"/>
          <w:szCs w:val="24"/>
          <w:highlight w:val="none"/>
          <w:lang w:val="en-US" w:eastAsia="zh-CN" w:bidi="ar-SA"/>
        </w:rPr>
      </w:pPr>
    </w:p>
    <w:p w14:paraId="69D1A4BF">
      <w:pPr>
        <w:rPr>
          <w:rFonts w:hint="eastAsia" w:ascii="宋体" w:hAnsi="宋体" w:eastAsia="宋体" w:cs="Times New Roman"/>
          <w:b w:val="0"/>
          <w:bCs w:val="0"/>
          <w:color w:val="auto"/>
          <w:kern w:val="0"/>
          <w:sz w:val="24"/>
          <w:szCs w:val="24"/>
          <w:highlight w:val="none"/>
          <w:lang w:val="en-US" w:eastAsia="zh-CN" w:bidi="ar-SA"/>
        </w:rPr>
      </w:pPr>
    </w:p>
    <w:p w14:paraId="703AE7BC">
      <w:pPr>
        <w:pStyle w:val="2"/>
        <w:keepLines w:val="0"/>
        <w:pageBreakBefore w:val="0"/>
        <w:kinsoku/>
        <w:overflowPunct/>
        <w:bidi w:val="0"/>
        <w:spacing w:line="360" w:lineRule="auto"/>
        <w:jc w:val="center"/>
        <w:rPr>
          <w:rFonts w:hint="eastAsia" w:ascii="Cambria" w:hAnsi="Cambria" w:eastAsia="宋体" w:cs="Times New Roman"/>
          <w:b/>
          <w:bCs/>
          <w:color w:val="auto"/>
          <w:kern w:val="32"/>
          <w:sz w:val="32"/>
          <w:szCs w:val="32"/>
          <w:highlight w:val="none"/>
          <w:lang w:val="en-US" w:eastAsia="zh-CN" w:bidi="ar-SA"/>
        </w:rPr>
      </w:pPr>
      <w:bookmarkStart w:id="173" w:name="_Toc12177"/>
      <w:r>
        <w:rPr>
          <w:rFonts w:hint="eastAsia" w:ascii="Cambria" w:hAnsi="Cambria" w:eastAsia="宋体" w:cs="Times New Roman"/>
          <w:b/>
          <w:bCs/>
          <w:color w:val="auto"/>
          <w:kern w:val="32"/>
          <w:sz w:val="32"/>
          <w:szCs w:val="32"/>
          <w:highlight w:val="none"/>
          <w:lang w:val="en-US" w:eastAsia="zh-CN" w:bidi="ar-SA"/>
        </w:rPr>
        <w:t>第七章  评标办法</w:t>
      </w:r>
      <w:bookmarkEnd w:id="167"/>
      <w:bookmarkEnd w:id="168"/>
      <w:bookmarkEnd w:id="169"/>
      <w:bookmarkEnd w:id="173"/>
      <w:bookmarkStart w:id="174" w:name="_Hlt101846155"/>
      <w:bookmarkEnd w:id="174"/>
      <w:bookmarkStart w:id="175" w:name="_Toc217446097"/>
      <w:bookmarkStart w:id="176" w:name="_Toc183682415"/>
      <w:bookmarkStart w:id="177" w:name="_Toc208849007"/>
      <w:bookmarkStart w:id="178" w:name="_Toc183582280"/>
    </w:p>
    <w:bookmarkEnd w:id="175"/>
    <w:bookmarkEnd w:id="176"/>
    <w:bookmarkEnd w:id="177"/>
    <w:bookmarkEnd w:id="178"/>
    <w:p w14:paraId="0A96469F">
      <w:pPr>
        <w:pStyle w:val="4"/>
        <w:keepLines w:val="0"/>
        <w:pageBreakBefore w:val="0"/>
        <w:kinsoku/>
        <w:overflowPunct/>
        <w:bidi w:val="0"/>
        <w:spacing w:before="0" w:after="0" w:line="360" w:lineRule="auto"/>
        <w:ind w:firstLine="482"/>
        <w:rPr>
          <w:color w:val="auto"/>
          <w:highlight w:val="none"/>
        </w:rPr>
      </w:pPr>
      <w:r>
        <w:rPr>
          <w:rFonts w:hint="eastAsia"/>
          <w:color w:val="auto"/>
          <w:highlight w:val="none"/>
        </w:rPr>
        <w:t>1. 总则</w:t>
      </w:r>
    </w:p>
    <w:p w14:paraId="78BADDFD">
      <w:pPr>
        <w:keepLines w:val="0"/>
        <w:pageBreakBefore w:val="0"/>
        <w:kinsoku/>
        <w:overflowPunct/>
        <w:bidi w:val="0"/>
        <w:snapToGrid w:val="0"/>
        <w:spacing w:line="360" w:lineRule="auto"/>
        <w:ind w:firstLine="480" w:firstLineChars="200"/>
        <w:rPr>
          <w:color w:val="auto"/>
          <w:highlight w:val="none"/>
        </w:rPr>
      </w:pPr>
      <w:r>
        <w:rPr>
          <w:rFonts w:hint="eastAsia"/>
          <w:color w:val="auto"/>
          <w:highlight w:val="none"/>
        </w:rPr>
        <w:t xml:space="preserve">1.1 </w:t>
      </w:r>
      <w:r>
        <w:rPr>
          <w:rFonts w:hint="eastAsia"/>
          <w:color w:val="auto"/>
          <w:highlight w:val="none"/>
          <w:lang w:val="en-US" w:eastAsia="zh-CN"/>
        </w:rPr>
        <w:t>参照</w:t>
      </w:r>
      <w:r>
        <w:rPr>
          <w:rFonts w:hint="eastAsia"/>
          <w:color w:val="auto"/>
          <w:highlight w:val="none"/>
        </w:rPr>
        <w:t>《中华人民共和国政府采购法》、《中华人民共和国政府采购法实施条例》、《政府采购货物和服务招标投标管理办法》等法律法规，结合采购项目特点制定本评标办法。</w:t>
      </w:r>
    </w:p>
    <w:p w14:paraId="4BD59DB0">
      <w:pPr>
        <w:keepLines w:val="0"/>
        <w:pageBreakBefore w:val="0"/>
        <w:kinsoku/>
        <w:overflowPunct/>
        <w:bidi w:val="0"/>
        <w:snapToGrid w:val="0"/>
        <w:spacing w:line="360" w:lineRule="auto"/>
        <w:ind w:firstLine="480" w:firstLineChars="200"/>
        <w:rPr>
          <w:color w:val="auto"/>
          <w:highlight w:val="none"/>
        </w:rPr>
      </w:pPr>
      <w:r>
        <w:rPr>
          <w:rFonts w:hint="eastAsia"/>
          <w:color w:val="auto"/>
          <w:highlight w:val="none"/>
        </w:rPr>
        <w:t xml:space="preserve">1.2 </w:t>
      </w:r>
      <w:r>
        <w:rPr>
          <w:rFonts w:hint="eastAsia"/>
          <w:bCs/>
          <w:color w:val="auto"/>
          <w:highlight w:val="none"/>
        </w:rPr>
        <w:t>评标工作由采购代理机构负责组织，具体评标事务由采购代理机构依法组建的评标委员会负责。评标委员会由采购人代表和有关技术、经济等方面的专家组成。</w:t>
      </w:r>
    </w:p>
    <w:p w14:paraId="4DDB1E46">
      <w:pPr>
        <w:keepLines w:val="0"/>
        <w:pageBreakBefore w:val="0"/>
        <w:kinsoku/>
        <w:overflowPunct/>
        <w:bidi w:val="0"/>
        <w:snapToGrid w:val="0"/>
        <w:spacing w:line="360" w:lineRule="auto"/>
        <w:ind w:firstLine="480" w:firstLineChars="200"/>
        <w:rPr>
          <w:color w:val="auto"/>
          <w:highlight w:val="none"/>
        </w:rPr>
      </w:pPr>
      <w:r>
        <w:rPr>
          <w:rFonts w:hint="eastAsia"/>
          <w:color w:val="auto"/>
          <w:highlight w:val="none"/>
        </w:rPr>
        <w:t>1.3 评标工作应遵循公平、公正、科学及择优的原则，并以相同的评标程序和标准对待所有的投标人。</w:t>
      </w:r>
    </w:p>
    <w:p w14:paraId="58BCCB03">
      <w:pPr>
        <w:keepLines w:val="0"/>
        <w:pageBreakBefore w:val="0"/>
        <w:kinsoku/>
        <w:overflowPunct/>
        <w:bidi w:val="0"/>
        <w:snapToGrid w:val="0"/>
        <w:spacing w:line="360" w:lineRule="auto"/>
        <w:ind w:firstLine="480" w:firstLineChars="200"/>
        <w:rPr>
          <w:color w:val="auto"/>
          <w:highlight w:val="none"/>
        </w:rPr>
      </w:pPr>
      <w:r>
        <w:rPr>
          <w:rFonts w:hint="eastAsia"/>
          <w:color w:val="auto"/>
          <w:highlight w:val="none"/>
        </w:rPr>
        <w:t>1.4 评标委员会按照招标文件规定的评标方法和标准进行评标，并独立履行下列职责：</w:t>
      </w:r>
    </w:p>
    <w:p w14:paraId="5DCCEBDE">
      <w:pPr>
        <w:keepLines w:val="0"/>
        <w:pageBreakBefore w:val="0"/>
        <w:kinsoku/>
        <w:overflowPunct/>
        <w:bidi w:val="0"/>
        <w:snapToGrid w:val="0"/>
        <w:spacing w:line="360" w:lineRule="auto"/>
        <w:ind w:firstLine="480" w:firstLineChars="200"/>
        <w:rPr>
          <w:color w:val="auto"/>
          <w:highlight w:val="none"/>
        </w:rPr>
      </w:pPr>
      <w:bookmarkStart w:id="179" w:name="_Toc217446098"/>
      <w:r>
        <w:rPr>
          <w:rFonts w:hint="eastAsia"/>
          <w:color w:val="auto"/>
          <w:highlight w:val="none"/>
        </w:rPr>
        <w:t>（一）熟悉和理解招标文件；</w:t>
      </w:r>
    </w:p>
    <w:p w14:paraId="3BA05AF5">
      <w:pPr>
        <w:keepLines w:val="0"/>
        <w:pageBreakBefore w:val="0"/>
        <w:kinsoku/>
        <w:overflowPunct/>
        <w:bidi w:val="0"/>
        <w:snapToGrid w:val="0"/>
        <w:spacing w:line="360" w:lineRule="auto"/>
        <w:ind w:firstLine="480" w:firstLineChars="200"/>
        <w:rPr>
          <w:color w:val="auto"/>
          <w:highlight w:val="none"/>
        </w:rPr>
      </w:pPr>
      <w:r>
        <w:rPr>
          <w:rFonts w:hint="eastAsia"/>
          <w:color w:val="auto"/>
          <w:highlight w:val="none"/>
        </w:rPr>
        <w:t>（二）审查供应商投标文件等是否满足招标文件要求，并作出评价；</w:t>
      </w:r>
    </w:p>
    <w:p w14:paraId="558ED556">
      <w:pPr>
        <w:keepLines w:val="0"/>
        <w:pageBreakBefore w:val="0"/>
        <w:kinsoku/>
        <w:overflowPunct/>
        <w:bidi w:val="0"/>
        <w:snapToGrid w:val="0"/>
        <w:spacing w:line="360" w:lineRule="auto"/>
        <w:ind w:firstLine="480" w:firstLineChars="200"/>
        <w:rPr>
          <w:color w:val="auto"/>
          <w:highlight w:val="none"/>
        </w:rPr>
      </w:pPr>
      <w:r>
        <w:rPr>
          <w:rFonts w:hint="eastAsia"/>
          <w:color w:val="auto"/>
          <w:highlight w:val="none"/>
        </w:rPr>
        <w:t>（三）根据需要要求招标采购单位对招标文件作出解释；根据需要要求供应商对投标文件有关事项作出澄清、说明或者补正；</w:t>
      </w:r>
    </w:p>
    <w:p w14:paraId="2844E9B4">
      <w:pPr>
        <w:keepLines w:val="0"/>
        <w:pageBreakBefore w:val="0"/>
        <w:kinsoku/>
        <w:overflowPunct/>
        <w:bidi w:val="0"/>
        <w:snapToGrid w:val="0"/>
        <w:spacing w:line="360" w:lineRule="auto"/>
        <w:ind w:firstLine="480" w:firstLineChars="200"/>
        <w:rPr>
          <w:color w:val="auto"/>
          <w:highlight w:val="none"/>
        </w:rPr>
      </w:pPr>
      <w:r>
        <w:rPr>
          <w:rFonts w:hint="eastAsia"/>
          <w:color w:val="auto"/>
          <w:highlight w:val="none"/>
        </w:rPr>
        <w:t>（四）推荐中标候选供应商，或者受采购人委托确定</w:t>
      </w:r>
      <w:r>
        <w:rPr>
          <w:rFonts w:hint="eastAsia"/>
          <w:color w:val="auto"/>
          <w:highlight w:val="none"/>
          <w:lang w:eastAsia="zh-CN"/>
        </w:rPr>
        <w:t>中标人</w:t>
      </w:r>
      <w:r>
        <w:rPr>
          <w:rFonts w:hint="eastAsia"/>
          <w:color w:val="auto"/>
          <w:highlight w:val="none"/>
        </w:rPr>
        <w:t>；</w:t>
      </w:r>
    </w:p>
    <w:p w14:paraId="229717E3">
      <w:pPr>
        <w:keepLines w:val="0"/>
        <w:pageBreakBefore w:val="0"/>
        <w:kinsoku/>
        <w:overflowPunct/>
        <w:bidi w:val="0"/>
        <w:snapToGrid w:val="0"/>
        <w:spacing w:line="360" w:lineRule="auto"/>
        <w:ind w:firstLine="480" w:firstLineChars="200"/>
        <w:rPr>
          <w:color w:val="auto"/>
          <w:highlight w:val="none"/>
        </w:rPr>
      </w:pPr>
      <w:r>
        <w:rPr>
          <w:rFonts w:hint="eastAsia"/>
          <w:color w:val="auto"/>
          <w:highlight w:val="none"/>
        </w:rPr>
        <w:t>（五）起草评标报告并进行签署；</w:t>
      </w:r>
    </w:p>
    <w:p w14:paraId="73864C62">
      <w:pPr>
        <w:keepLines w:val="0"/>
        <w:pageBreakBefore w:val="0"/>
        <w:kinsoku/>
        <w:overflowPunct/>
        <w:bidi w:val="0"/>
        <w:snapToGrid w:val="0"/>
        <w:spacing w:line="360" w:lineRule="auto"/>
        <w:ind w:firstLine="480" w:firstLineChars="200"/>
        <w:rPr>
          <w:color w:val="auto"/>
          <w:highlight w:val="none"/>
        </w:rPr>
      </w:pPr>
      <w:r>
        <w:rPr>
          <w:rFonts w:hint="eastAsia"/>
          <w:color w:val="auto"/>
          <w:highlight w:val="none"/>
        </w:rPr>
        <w:t>（六）向招标采购单位、财政部门或者其他监督部门报告非法干预评标工作的行为；</w:t>
      </w:r>
    </w:p>
    <w:p w14:paraId="5B9EA2D3">
      <w:pPr>
        <w:keepLines w:val="0"/>
        <w:pageBreakBefore w:val="0"/>
        <w:kinsoku/>
        <w:overflowPunct/>
        <w:bidi w:val="0"/>
        <w:snapToGrid w:val="0"/>
        <w:spacing w:line="360" w:lineRule="auto"/>
        <w:ind w:firstLine="480" w:firstLineChars="200"/>
        <w:rPr>
          <w:color w:val="auto"/>
          <w:highlight w:val="none"/>
        </w:rPr>
      </w:pPr>
      <w:r>
        <w:rPr>
          <w:rFonts w:hint="eastAsia"/>
          <w:color w:val="auto"/>
          <w:highlight w:val="none"/>
        </w:rPr>
        <w:t>（七）法律、法规和规章规定的其他职责。</w:t>
      </w:r>
    </w:p>
    <w:p w14:paraId="3CEBCEE9">
      <w:pPr>
        <w:keepLines w:val="0"/>
        <w:pageBreakBefore w:val="0"/>
        <w:kinsoku/>
        <w:overflowPunct/>
        <w:bidi w:val="0"/>
        <w:snapToGrid w:val="0"/>
        <w:spacing w:line="360" w:lineRule="auto"/>
        <w:ind w:firstLine="480" w:firstLineChars="200"/>
        <w:rPr>
          <w:color w:val="auto"/>
          <w:highlight w:val="none"/>
        </w:rPr>
      </w:pPr>
      <w:r>
        <w:rPr>
          <w:rFonts w:hint="eastAsia"/>
          <w:color w:val="auto"/>
          <w:highlight w:val="none"/>
        </w:rPr>
        <w:t>1.5 评标过程独立、保密。投标人非法干预评标过程的行为将导致其投标文件作为无效处理。</w:t>
      </w:r>
    </w:p>
    <w:p w14:paraId="12EE9598">
      <w:pPr>
        <w:keepLines w:val="0"/>
        <w:pageBreakBefore w:val="0"/>
        <w:kinsoku/>
        <w:overflowPunct/>
        <w:bidi w:val="0"/>
        <w:snapToGrid w:val="0"/>
        <w:spacing w:line="360" w:lineRule="auto"/>
        <w:ind w:firstLine="480" w:firstLineChars="200"/>
        <w:rPr>
          <w:color w:val="auto"/>
          <w:highlight w:val="none"/>
        </w:rPr>
      </w:pPr>
      <w:r>
        <w:rPr>
          <w:rFonts w:hint="eastAsia"/>
          <w:color w:val="auto"/>
          <w:highlight w:val="none"/>
        </w:rPr>
        <w:t>1.6评标委员会评价投标文件的响应性，对于投标人而言，除评标委员会要求其澄清、说明或者补正而提供的资料外，仅依据投标文件本身的内容，不寻求其他外部证据。</w:t>
      </w:r>
    </w:p>
    <w:p w14:paraId="5F30FC6E">
      <w:pPr>
        <w:pStyle w:val="4"/>
        <w:keepLines w:val="0"/>
        <w:pageBreakBefore w:val="0"/>
        <w:kinsoku/>
        <w:overflowPunct/>
        <w:bidi w:val="0"/>
        <w:spacing w:before="0" w:after="0" w:line="360" w:lineRule="auto"/>
        <w:ind w:firstLine="482"/>
        <w:rPr>
          <w:rFonts w:ascii="黑体" w:eastAsia="黑体"/>
          <w:color w:val="auto"/>
          <w:highlight w:val="none"/>
        </w:rPr>
      </w:pPr>
      <w:r>
        <w:rPr>
          <w:rFonts w:hint="eastAsia"/>
          <w:color w:val="auto"/>
          <w:highlight w:val="none"/>
        </w:rPr>
        <w:t>2、评标方法</w:t>
      </w:r>
    </w:p>
    <w:p w14:paraId="4BA8558E">
      <w:pPr>
        <w:keepLines w:val="0"/>
        <w:pageBreakBefore w:val="0"/>
        <w:kinsoku/>
        <w:overflowPunct/>
        <w:bidi w:val="0"/>
        <w:snapToGrid w:val="0"/>
        <w:spacing w:line="360" w:lineRule="auto"/>
        <w:ind w:firstLine="480" w:firstLineChars="200"/>
        <w:rPr>
          <w:rFonts w:ascii="黑体" w:eastAsia="黑体"/>
          <w:color w:val="auto"/>
          <w:highlight w:val="none"/>
        </w:rPr>
      </w:pPr>
      <w:r>
        <w:rPr>
          <w:rFonts w:hint="eastAsia"/>
          <w:color w:val="auto"/>
          <w:highlight w:val="none"/>
        </w:rPr>
        <w:t>本项目评标方法为：综合评分法。</w:t>
      </w:r>
    </w:p>
    <w:p w14:paraId="044E5FC3">
      <w:pPr>
        <w:pStyle w:val="4"/>
        <w:keepLines w:val="0"/>
        <w:pageBreakBefore w:val="0"/>
        <w:kinsoku/>
        <w:overflowPunct/>
        <w:bidi w:val="0"/>
        <w:spacing w:before="0" w:after="0" w:line="360" w:lineRule="auto"/>
        <w:ind w:firstLine="482"/>
        <w:rPr>
          <w:rFonts w:ascii="黑体" w:eastAsia="黑体"/>
          <w:b w:val="0"/>
          <w:color w:val="auto"/>
          <w:highlight w:val="none"/>
        </w:rPr>
      </w:pPr>
      <w:r>
        <w:rPr>
          <w:rFonts w:hint="eastAsia"/>
          <w:color w:val="auto"/>
          <w:highlight w:val="none"/>
        </w:rPr>
        <w:t>3、 评标程序</w:t>
      </w:r>
      <w:bookmarkEnd w:id="179"/>
    </w:p>
    <w:p w14:paraId="44CF3696">
      <w:pPr>
        <w:keepLines w:val="0"/>
        <w:pageBreakBefore w:val="0"/>
        <w:kinsoku/>
        <w:overflowPunct/>
        <w:bidi w:val="0"/>
        <w:snapToGrid w:val="0"/>
        <w:spacing w:line="360" w:lineRule="auto"/>
        <w:ind w:firstLine="480" w:firstLineChars="200"/>
        <w:rPr>
          <w:color w:val="auto"/>
          <w:highlight w:val="none"/>
        </w:rPr>
      </w:pPr>
      <w:bookmarkStart w:id="180" w:name="_Toc217446103"/>
      <w:r>
        <w:rPr>
          <w:rFonts w:hint="eastAsia"/>
          <w:color w:val="auto"/>
          <w:highlight w:val="none"/>
        </w:rPr>
        <w:t>3.1熟悉和理解招标文件和停止评标。</w:t>
      </w:r>
    </w:p>
    <w:p w14:paraId="2EC975BC">
      <w:pPr>
        <w:keepLines w:val="0"/>
        <w:pageBreakBefore w:val="0"/>
        <w:kinsoku/>
        <w:overflowPunct/>
        <w:bidi w:val="0"/>
        <w:snapToGrid w:val="0"/>
        <w:spacing w:line="360" w:lineRule="auto"/>
        <w:ind w:firstLine="480" w:firstLineChars="200"/>
        <w:rPr>
          <w:color w:val="auto"/>
          <w:highlight w:val="none"/>
        </w:rPr>
      </w:pPr>
      <w:r>
        <w:rPr>
          <w:rFonts w:hint="eastAsia"/>
          <w:color w:val="auto"/>
          <w:highlight w:val="none"/>
        </w:rPr>
        <w:t>3.1.1评标委员会正式评标前，应当对招标文件进行熟悉和理解，内容主要包括招标文件中投标人的采购项目技术、服务和商务要求、评标方法和标准以及可能涉及签订</w:t>
      </w:r>
      <w:r>
        <w:rPr>
          <w:rFonts w:hint="eastAsia"/>
          <w:color w:val="auto"/>
          <w:highlight w:val="none"/>
          <w:lang w:eastAsia="zh-CN"/>
        </w:rPr>
        <w:t>采购合同</w:t>
      </w:r>
      <w:r>
        <w:rPr>
          <w:rFonts w:hint="eastAsia"/>
          <w:color w:val="auto"/>
          <w:highlight w:val="none"/>
        </w:rPr>
        <w:t>的内容等。</w:t>
      </w:r>
    </w:p>
    <w:p w14:paraId="2FD635CE">
      <w:pPr>
        <w:keepLines w:val="0"/>
        <w:pageBreakBefore w:val="0"/>
        <w:kinsoku/>
        <w:overflowPunct/>
        <w:bidi w:val="0"/>
        <w:spacing w:line="360" w:lineRule="auto"/>
        <w:ind w:firstLine="480" w:firstLineChars="200"/>
        <w:rPr>
          <w:rFonts w:hint="eastAsia"/>
          <w:color w:val="auto"/>
          <w:highlight w:val="none"/>
        </w:rPr>
      </w:pPr>
    </w:p>
    <w:p w14:paraId="0F154695">
      <w:pPr>
        <w:keepLines w:val="0"/>
        <w:pageBreakBefore w:val="0"/>
        <w:kinsoku/>
        <w:overflowPunct/>
        <w:bidi w:val="0"/>
        <w:spacing w:line="360" w:lineRule="auto"/>
        <w:ind w:firstLine="480" w:firstLineChars="200"/>
        <w:rPr>
          <w:color w:val="auto"/>
          <w:highlight w:val="none"/>
        </w:rPr>
      </w:pPr>
      <w:r>
        <w:rPr>
          <w:rFonts w:hint="eastAsia"/>
          <w:color w:val="auto"/>
          <w:highlight w:val="none"/>
        </w:rPr>
        <w:t>3.1.2评标委员会熟悉和理解招标文件以及评标过程中，发现本招标文件有下列情形之一的，评标委员会应当停止评标：</w:t>
      </w:r>
    </w:p>
    <w:p w14:paraId="5006AC08">
      <w:pPr>
        <w:keepLines w:val="0"/>
        <w:pageBreakBefore w:val="0"/>
        <w:kinsoku/>
        <w:overflowPunct/>
        <w:bidi w:val="0"/>
        <w:spacing w:line="360" w:lineRule="auto"/>
        <w:ind w:firstLine="480" w:firstLineChars="200"/>
        <w:rPr>
          <w:color w:val="auto"/>
          <w:highlight w:val="none"/>
        </w:rPr>
      </w:pPr>
      <w:r>
        <w:rPr>
          <w:rFonts w:hint="eastAsia"/>
          <w:color w:val="auto"/>
          <w:highlight w:val="none"/>
        </w:rPr>
        <w:t>（1）招标文件的规定存在歧义、重大缺陷的；</w:t>
      </w:r>
    </w:p>
    <w:p w14:paraId="59960819">
      <w:pPr>
        <w:keepLines w:val="0"/>
        <w:pageBreakBefore w:val="0"/>
        <w:kinsoku/>
        <w:overflowPunct/>
        <w:bidi w:val="0"/>
        <w:spacing w:line="360" w:lineRule="auto"/>
        <w:ind w:firstLine="480" w:firstLineChars="200"/>
        <w:rPr>
          <w:color w:val="auto"/>
          <w:highlight w:val="none"/>
        </w:rPr>
      </w:pPr>
      <w:r>
        <w:rPr>
          <w:rFonts w:hint="eastAsia"/>
          <w:color w:val="auto"/>
          <w:highlight w:val="none"/>
        </w:rPr>
        <w:t>（2）招标文件明显以不合理条件对供应商实行差别待遇或者歧视待遇的；</w:t>
      </w:r>
    </w:p>
    <w:p w14:paraId="65771B3A">
      <w:pPr>
        <w:keepLines w:val="0"/>
        <w:pageBreakBefore w:val="0"/>
        <w:kinsoku/>
        <w:overflowPunct/>
        <w:bidi w:val="0"/>
        <w:spacing w:line="360" w:lineRule="auto"/>
        <w:ind w:firstLine="480" w:firstLineChars="200"/>
        <w:rPr>
          <w:color w:val="auto"/>
          <w:highlight w:val="none"/>
        </w:rPr>
      </w:pPr>
      <w:r>
        <w:rPr>
          <w:rFonts w:hint="eastAsia"/>
          <w:color w:val="auto"/>
          <w:highlight w:val="none"/>
        </w:rPr>
        <w:t>（3）采购项目属于国家规定的优先、强制采购范围，但是招标文件未依法体现优先、强制采购相关规定的；</w:t>
      </w:r>
    </w:p>
    <w:p w14:paraId="4434F408">
      <w:pPr>
        <w:keepLines w:val="0"/>
        <w:pageBreakBefore w:val="0"/>
        <w:kinsoku/>
        <w:overflowPunct/>
        <w:bidi w:val="0"/>
        <w:spacing w:line="360" w:lineRule="auto"/>
        <w:ind w:firstLine="480" w:firstLineChars="200"/>
        <w:rPr>
          <w:color w:val="auto"/>
          <w:highlight w:val="none"/>
        </w:rPr>
      </w:pPr>
      <w:r>
        <w:rPr>
          <w:rFonts w:hint="eastAsia"/>
          <w:color w:val="auto"/>
          <w:highlight w:val="none"/>
        </w:rPr>
        <w:t>（</w:t>
      </w:r>
      <w:r>
        <w:rPr>
          <w:rFonts w:hint="eastAsia"/>
          <w:color w:val="auto"/>
          <w:highlight w:val="none"/>
          <w:lang w:val="en-US" w:eastAsia="zh-CN"/>
        </w:rPr>
        <w:t>4</w:t>
      </w:r>
      <w:r>
        <w:rPr>
          <w:rFonts w:hint="eastAsia"/>
          <w:color w:val="auto"/>
          <w:highlight w:val="none"/>
        </w:rPr>
        <w:t>）招标文件规定的评标方法是综合评分法、最低评标价法之外的评标方法，或者虽然名称为综合评分法、最低评标价法，但实际上不符合国家规定；</w:t>
      </w:r>
    </w:p>
    <w:p w14:paraId="0DAA814F">
      <w:pPr>
        <w:keepLines w:val="0"/>
        <w:pageBreakBefore w:val="0"/>
        <w:kinsoku/>
        <w:overflowPunct/>
        <w:bidi w:val="0"/>
        <w:spacing w:line="360" w:lineRule="auto"/>
        <w:ind w:firstLine="480" w:firstLineChars="200"/>
        <w:rPr>
          <w:color w:val="auto"/>
          <w:highlight w:val="none"/>
        </w:rPr>
      </w:pPr>
      <w:r>
        <w:rPr>
          <w:rFonts w:hint="eastAsia"/>
          <w:color w:val="auto"/>
          <w:highlight w:val="none"/>
        </w:rPr>
        <w:t>（</w:t>
      </w:r>
      <w:r>
        <w:rPr>
          <w:rFonts w:hint="eastAsia"/>
          <w:color w:val="auto"/>
          <w:highlight w:val="none"/>
          <w:lang w:val="en-US" w:eastAsia="zh-CN"/>
        </w:rPr>
        <w:t>5</w:t>
      </w:r>
      <w:r>
        <w:rPr>
          <w:rFonts w:hint="eastAsia"/>
          <w:color w:val="auto"/>
          <w:highlight w:val="none"/>
        </w:rPr>
        <w:t>）招标文件将投标人的资格条件列为评分因素的；</w:t>
      </w:r>
    </w:p>
    <w:p w14:paraId="714CDE3F">
      <w:pPr>
        <w:keepLines w:val="0"/>
        <w:pageBreakBefore w:val="0"/>
        <w:kinsoku/>
        <w:overflowPunct/>
        <w:bidi w:val="0"/>
        <w:spacing w:line="360" w:lineRule="auto"/>
        <w:ind w:firstLine="480" w:firstLineChars="200"/>
        <w:rPr>
          <w:color w:val="auto"/>
          <w:highlight w:val="none"/>
        </w:rPr>
      </w:pPr>
      <w:r>
        <w:rPr>
          <w:rFonts w:hint="eastAsia"/>
          <w:color w:val="auto"/>
          <w:highlight w:val="none"/>
        </w:rPr>
        <w:t>（</w:t>
      </w:r>
      <w:r>
        <w:rPr>
          <w:rFonts w:hint="eastAsia"/>
          <w:color w:val="auto"/>
          <w:highlight w:val="none"/>
          <w:lang w:val="en-US" w:eastAsia="zh-CN"/>
        </w:rPr>
        <w:t>6</w:t>
      </w:r>
      <w:r>
        <w:rPr>
          <w:rFonts w:hint="eastAsia"/>
          <w:color w:val="auto"/>
          <w:highlight w:val="none"/>
        </w:rPr>
        <w:t>）招标文件有违反国家其他有关强制性规定的情形。</w:t>
      </w:r>
    </w:p>
    <w:p w14:paraId="3A9FB1EE">
      <w:pPr>
        <w:keepLines w:val="0"/>
        <w:pageBreakBefore w:val="0"/>
        <w:kinsoku/>
        <w:overflowPunct/>
        <w:bidi w:val="0"/>
        <w:spacing w:line="360" w:lineRule="auto"/>
        <w:ind w:firstLine="480" w:firstLineChars="200"/>
        <w:rPr>
          <w:color w:val="auto"/>
          <w:highlight w:val="none"/>
        </w:rPr>
      </w:pPr>
      <w:r>
        <w:rPr>
          <w:rFonts w:hint="eastAsia"/>
          <w:color w:val="auto"/>
          <w:highlight w:val="none"/>
        </w:rPr>
        <w:t>3.1.4出现本条3.1.2规定应当停止评标情形的，评标委员会成员应当向招标采购单位书面说明情况。除本条规定和评标委员会无法依法组建的情形外，评标委员会成员不得以任何方式和理由停止评标。</w:t>
      </w:r>
    </w:p>
    <w:p w14:paraId="04D2CECE">
      <w:pPr>
        <w:keepLines w:val="0"/>
        <w:pageBreakBefore w:val="0"/>
        <w:kinsoku/>
        <w:overflowPunct/>
        <w:bidi w:val="0"/>
        <w:spacing w:line="360" w:lineRule="auto"/>
        <w:ind w:firstLine="480" w:firstLineChars="200"/>
        <w:rPr>
          <w:color w:val="auto"/>
          <w:highlight w:val="none"/>
        </w:rPr>
      </w:pPr>
      <w:r>
        <w:rPr>
          <w:rFonts w:hint="eastAsia"/>
          <w:color w:val="auto"/>
          <w:highlight w:val="none"/>
        </w:rPr>
        <w:t>3.2资格性检查。</w:t>
      </w:r>
    </w:p>
    <w:p w14:paraId="0A128C06">
      <w:pPr>
        <w:keepLines w:val="0"/>
        <w:pageBreakBefore w:val="0"/>
        <w:kinsoku/>
        <w:overflowPunct/>
        <w:bidi w:val="0"/>
        <w:spacing w:line="360" w:lineRule="auto"/>
        <w:ind w:firstLine="480" w:firstLineChars="200"/>
        <w:rPr>
          <w:color w:val="auto"/>
          <w:highlight w:val="none"/>
        </w:rPr>
      </w:pPr>
      <w:r>
        <w:rPr>
          <w:rFonts w:hint="eastAsia"/>
          <w:color w:val="auto"/>
          <w:highlight w:val="none"/>
        </w:rPr>
        <w:t>采购人或者采购代理机构应依据法律法规和本招标文件的规定，对投标文件是否按照规定要求提供资格性证明材料、是否按照规定</w:t>
      </w:r>
      <w:r>
        <w:rPr>
          <w:rFonts w:hint="eastAsia"/>
          <w:color w:val="auto"/>
          <w:highlight w:val="none"/>
          <w:lang w:eastAsia="zh-CN"/>
        </w:rPr>
        <w:t>缴纳</w:t>
      </w:r>
      <w:r>
        <w:rPr>
          <w:rFonts w:hint="eastAsia"/>
          <w:color w:val="auto"/>
          <w:highlight w:val="none"/>
        </w:rPr>
        <w:t>投标保证金</w:t>
      </w:r>
      <w:r>
        <w:rPr>
          <w:rFonts w:hint="eastAsia" w:hAnsi="宋体" w:cs="宋体"/>
          <w:color w:val="auto"/>
          <w:highlight w:val="none"/>
        </w:rPr>
        <w:t>（如有）</w:t>
      </w:r>
      <w:r>
        <w:rPr>
          <w:rFonts w:hint="eastAsia"/>
          <w:color w:val="auto"/>
          <w:highlight w:val="none"/>
        </w:rPr>
        <w:t>、是否属于禁止参加投标的供应商等进行审查，以确定投标供应商是否具备投标资格。</w:t>
      </w:r>
    </w:p>
    <w:p w14:paraId="0CF70333">
      <w:pPr>
        <w:keepLines w:val="0"/>
        <w:pageBreakBefore w:val="0"/>
        <w:kinsoku/>
        <w:overflowPunct/>
        <w:bidi w:val="0"/>
        <w:spacing w:line="360" w:lineRule="auto"/>
        <w:ind w:firstLine="480" w:firstLineChars="200"/>
        <w:rPr>
          <w:color w:val="auto"/>
          <w:highlight w:val="none"/>
        </w:rPr>
      </w:pPr>
      <w:r>
        <w:rPr>
          <w:rFonts w:hint="eastAsia"/>
          <w:color w:val="auto"/>
          <w:highlight w:val="none"/>
        </w:rPr>
        <w:t>3.3符合性检查。</w:t>
      </w:r>
    </w:p>
    <w:p w14:paraId="5481B704">
      <w:pPr>
        <w:keepLines w:val="0"/>
        <w:pageBreakBefore w:val="0"/>
        <w:kinsoku/>
        <w:overflowPunct/>
        <w:bidi w:val="0"/>
        <w:spacing w:line="360" w:lineRule="auto"/>
        <w:ind w:firstLine="480" w:firstLineChars="200"/>
        <w:rPr>
          <w:color w:val="auto"/>
          <w:highlight w:val="none"/>
        </w:rPr>
      </w:pPr>
      <w:r>
        <w:rPr>
          <w:rFonts w:hint="eastAsia"/>
          <w:color w:val="auto"/>
          <w:highlight w:val="none"/>
        </w:rPr>
        <w:t>3.3.1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64A7DE44">
      <w:pPr>
        <w:keepLines w:val="0"/>
        <w:pageBreakBefore w:val="0"/>
        <w:kinsoku/>
        <w:overflowPunct/>
        <w:bidi w:val="0"/>
        <w:spacing w:line="360" w:lineRule="auto"/>
        <w:ind w:firstLine="480" w:firstLineChars="200"/>
        <w:rPr>
          <w:color w:val="auto"/>
          <w:highlight w:val="none"/>
        </w:rPr>
      </w:pPr>
      <w:r>
        <w:rPr>
          <w:rFonts w:hint="eastAsia"/>
          <w:color w:val="auto"/>
          <w:highlight w:val="none"/>
        </w:rPr>
        <w:t>3.3.2投标文件（包括单独递交的开标一览表）有下列情形的，本项目不作为实质性要求进行规定，即不作为符合性审查事项，不得作为无效投标处理：</w:t>
      </w:r>
    </w:p>
    <w:p w14:paraId="76DE5F4D">
      <w:pPr>
        <w:keepLines w:val="0"/>
        <w:pageBreakBefore w:val="0"/>
        <w:kinsoku/>
        <w:overflowPunct/>
        <w:bidi w:val="0"/>
        <w:spacing w:line="360" w:lineRule="auto"/>
        <w:ind w:firstLine="480" w:firstLineChars="200"/>
        <w:rPr>
          <w:color w:val="auto"/>
          <w:highlight w:val="none"/>
        </w:rPr>
      </w:pPr>
      <w:r>
        <w:rPr>
          <w:rFonts w:hint="eastAsia"/>
          <w:color w:val="auto"/>
          <w:highlight w:val="none"/>
        </w:rPr>
        <w:t>（一）存在个别地方（不超过2个）没有法定代表人签字，但有法定代表人的私人印章或者有效授权代理人签字的；</w:t>
      </w:r>
    </w:p>
    <w:p w14:paraId="47A7939F">
      <w:pPr>
        <w:keepLines w:val="0"/>
        <w:pageBreakBefore w:val="0"/>
        <w:kinsoku/>
        <w:overflowPunct/>
        <w:bidi w:val="0"/>
        <w:spacing w:line="360" w:lineRule="auto"/>
        <w:ind w:firstLine="480" w:firstLineChars="200"/>
        <w:rPr>
          <w:color w:val="auto"/>
          <w:highlight w:val="none"/>
        </w:rPr>
      </w:pPr>
      <w:r>
        <w:rPr>
          <w:rFonts w:hint="eastAsia"/>
          <w:color w:val="auto"/>
          <w:highlight w:val="none"/>
        </w:rPr>
        <w:t>（</w:t>
      </w:r>
      <w:r>
        <w:rPr>
          <w:rFonts w:hint="eastAsia"/>
          <w:color w:val="auto"/>
          <w:highlight w:val="none"/>
          <w:lang w:val="en-US" w:eastAsia="zh-CN"/>
        </w:rPr>
        <w:t>二</w:t>
      </w:r>
      <w:r>
        <w:rPr>
          <w:rFonts w:hint="eastAsia"/>
          <w:color w:val="auto"/>
          <w:highlight w:val="none"/>
        </w:rPr>
        <w:t>）除招标文件明确要求加盖单位(法人)公章的以外，其他地方以相关专用章加盖的；</w:t>
      </w:r>
    </w:p>
    <w:p w14:paraId="11F92053">
      <w:pPr>
        <w:keepLines w:val="0"/>
        <w:pageBreakBefore w:val="0"/>
        <w:kinsoku/>
        <w:overflowPunct/>
        <w:bidi w:val="0"/>
        <w:spacing w:line="360" w:lineRule="auto"/>
        <w:ind w:firstLine="480" w:firstLineChars="200"/>
        <w:rPr>
          <w:color w:val="auto"/>
          <w:highlight w:val="none"/>
        </w:rPr>
      </w:pPr>
      <w:r>
        <w:rPr>
          <w:rFonts w:hint="eastAsia"/>
          <w:color w:val="auto"/>
          <w:highlight w:val="none"/>
        </w:rPr>
        <w:t>（</w:t>
      </w:r>
      <w:r>
        <w:rPr>
          <w:rFonts w:hint="eastAsia"/>
          <w:color w:val="auto"/>
          <w:highlight w:val="none"/>
          <w:lang w:val="en-US" w:eastAsia="zh-CN"/>
        </w:rPr>
        <w:t>三</w:t>
      </w:r>
      <w:r>
        <w:rPr>
          <w:rFonts w:hint="eastAsia"/>
          <w:color w:val="auto"/>
          <w:highlight w:val="none"/>
        </w:rPr>
        <w:t>）其他不影响采购项目实质性要求的情形。</w:t>
      </w:r>
    </w:p>
    <w:p w14:paraId="41F39891">
      <w:pPr>
        <w:keepLines w:val="0"/>
        <w:pageBreakBefore w:val="0"/>
        <w:kinsoku/>
        <w:overflowPunct/>
        <w:bidi w:val="0"/>
        <w:spacing w:line="360" w:lineRule="auto"/>
        <w:ind w:firstLine="480" w:firstLineChars="200"/>
        <w:rPr>
          <w:color w:val="auto"/>
          <w:highlight w:val="none"/>
        </w:rPr>
      </w:pPr>
      <w:r>
        <w:rPr>
          <w:rFonts w:hint="eastAsia"/>
          <w:color w:val="auto"/>
          <w:highlight w:val="none"/>
        </w:rPr>
        <w:t>3.3.3除政府采购法律制度规定的情形外，本项目投标人或者其投标文件有下列情形之一的，作为无效投标处理：</w:t>
      </w:r>
    </w:p>
    <w:p w14:paraId="1F8D2D34">
      <w:pPr>
        <w:keepLines w:val="0"/>
        <w:pageBreakBefore w:val="0"/>
        <w:kinsoku/>
        <w:overflowPunct/>
        <w:bidi w:val="0"/>
        <w:spacing w:line="360" w:lineRule="auto"/>
        <w:ind w:firstLine="480" w:firstLineChars="200"/>
        <w:rPr>
          <w:color w:val="auto"/>
          <w:highlight w:val="none"/>
        </w:rPr>
      </w:pPr>
      <w:r>
        <w:rPr>
          <w:rFonts w:hint="eastAsia"/>
          <w:color w:val="auto"/>
          <w:highlight w:val="none"/>
        </w:rPr>
        <w:t>（一）投标文件无单独递交的“开标一览表”的。</w:t>
      </w:r>
    </w:p>
    <w:p w14:paraId="5681C95D">
      <w:pPr>
        <w:keepLines w:val="0"/>
        <w:pageBreakBefore w:val="0"/>
        <w:kinsoku/>
        <w:overflowPunct/>
        <w:bidi w:val="0"/>
        <w:spacing w:line="360" w:lineRule="auto"/>
        <w:ind w:firstLine="480" w:firstLineChars="200"/>
        <w:rPr>
          <w:color w:val="auto"/>
          <w:highlight w:val="none"/>
        </w:rPr>
      </w:pPr>
      <w:r>
        <w:rPr>
          <w:rFonts w:hint="eastAsia"/>
          <w:color w:val="auto"/>
          <w:highlight w:val="none"/>
        </w:rPr>
        <w:t>（二）投标文件组成明显不符合招标文件的规定要求，影响评标委员会评判的；</w:t>
      </w:r>
    </w:p>
    <w:p w14:paraId="3DA2D8FD">
      <w:pPr>
        <w:keepLines w:val="0"/>
        <w:pageBreakBefore w:val="0"/>
        <w:kinsoku/>
        <w:overflowPunct/>
        <w:bidi w:val="0"/>
        <w:spacing w:line="360" w:lineRule="auto"/>
        <w:ind w:firstLine="480" w:firstLineChars="200"/>
        <w:rPr>
          <w:color w:val="auto"/>
          <w:highlight w:val="none"/>
        </w:rPr>
      </w:pPr>
      <w:r>
        <w:rPr>
          <w:rFonts w:hint="eastAsia"/>
          <w:color w:val="auto"/>
          <w:highlight w:val="none"/>
        </w:rPr>
        <w:t>（三）投标文件的格式、语言、计量单位、报价货币、知识产权、投标有效期等不符合招标文件的规定，影响评标委员会评判的；</w:t>
      </w:r>
    </w:p>
    <w:p w14:paraId="6D7D97E8">
      <w:pPr>
        <w:keepLines w:val="0"/>
        <w:pageBreakBefore w:val="0"/>
        <w:kinsoku/>
        <w:overflowPunct/>
        <w:bidi w:val="0"/>
        <w:spacing w:line="360" w:lineRule="auto"/>
        <w:ind w:firstLine="480" w:firstLineChars="200"/>
        <w:rPr>
          <w:color w:val="auto"/>
          <w:highlight w:val="none"/>
        </w:rPr>
      </w:pPr>
      <w:r>
        <w:rPr>
          <w:rFonts w:hint="eastAsia"/>
          <w:color w:val="auto"/>
          <w:highlight w:val="none"/>
        </w:rPr>
        <w:t>（四）投标报价不符合招标文件规定的价格标底和其他报价规定的；</w:t>
      </w:r>
    </w:p>
    <w:p w14:paraId="57E9502F">
      <w:pPr>
        <w:keepLines w:val="0"/>
        <w:pageBreakBefore w:val="0"/>
        <w:kinsoku/>
        <w:overflowPunct/>
        <w:bidi w:val="0"/>
        <w:spacing w:line="360" w:lineRule="auto"/>
        <w:ind w:firstLine="480" w:firstLineChars="200"/>
        <w:rPr>
          <w:color w:val="auto"/>
          <w:highlight w:val="none"/>
        </w:rPr>
      </w:pPr>
      <w:r>
        <w:rPr>
          <w:rFonts w:hint="eastAsia"/>
          <w:color w:val="auto"/>
          <w:highlight w:val="none"/>
        </w:rPr>
        <w:t>（五）技术应答内容完全或者绝大部分复制招标文件规定要求，且无相关证明材料的（主要适用于专用设备和电子信息化建设采购项目，政府采购工程、政府采购协议供货或定点供应商采购、政府采购的货物属于规格标准统一或者</w:t>
      </w:r>
      <w:r>
        <w:rPr>
          <w:rFonts w:hint="eastAsia"/>
          <w:color w:val="auto"/>
          <w:highlight w:val="none"/>
          <w:lang w:eastAsia="zh-CN"/>
        </w:rPr>
        <w:t>定制</w:t>
      </w:r>
      <w:r>
        <w:rPr>
          <w:rFonts w:hint="eastAsia"/>
          <w:color w:val="auto"/>
          <w:highlight w:val="none"/>
        </w:rPr>
        <w:t>产品及服务项目的除外）；</w:t>
      </w:r>
    </w:p>
    <w:p w14:paraId="19701E9A">
      <w:pPr>
        <w:keepLines w:val="0"/>
        <w:pageBreakBefore w:val="0"/>
        <w:kinsoku/>
        <w:overflowPunct/>
        <w:bidi w:val="0"/>
        <w:spacing w:line="360" w:lineRule="auto"/>
        <w:ind w:firstLine="480" w:firstLineChars="200"/>
        <w:rPr>
          <w:color w:val="auto"/>
          <w:highlight w:val="none"/>
        </w:rPr>
      </w:pPr>
      <w:r>
        <w:rPr>
          <w:rFonts w:hint="eastAsia"/>
          <w:color w:val="auto"/>
          <w:highlight w:val="none"/>
        </w:rPr>
        <w:t>（六）技术、服务应答内容没有完全响应招标文件的实质性要求的；</w:t>
      </w:r>
    </w:p>
    <w:p w14:paraId="46937072">
      <w:pPr>
        <w:keepLines w:val="0"/>
        <w:pageBreakBefore w:val="0"/>
        <w:kinsoku/>
        <w:overflowPunct/>
        <w:bidi w:val="0"/>
        <w:spacing w:line="360" w:lineRule="auto"/>
        <w:ind w:firstLine="480" w:firstLineChars="200"/>
        <w:rPr>
          <w:color w:val="auto"/>
          <w:highlight w:val="none"/>
        </w:rPr>
      </w:pPr>
      <w:r>
        <w:rPr>
          <w:rFonts w:hint="eastAsia"/>
          <w:color w:val="auto"/>
          <w:highlight w:val="none"/>
        </w:rPr>
        <w:t>（七）招标文件有明确要求，但投标文件未载明或者载明的采购项目履约时间、方式、数量与招标文件要求不一致的。</w:t>
      </w:r>
    </w:p>
    <w:p w14:paraId="3DDC8CFE">
      <w:pPr>
        <w:keepLines w:val="0"/>
        <w:pageBreakBefore w:val="0"/>
        <w:kinsoku/>
        <w:overflowPunct/>
        <w:bidi w:val="0"/>
        <w:spacing w:line="360" w:lineRule="auto"/>
        <w:ind w:firstLine="480" w:firstLineChars="200"/>
        <w:rPr>
          <w:color w:val="auto"/>
          <w:highlight w:val="none"/>
        </w:rPr>
      </w:pPr>
      <w:r>
        <w:rPr>
          <w:rFonts w:hint="eastAsia"/>
          <w:color w:val="auto"/>
          <w:highlight w:val="none"/>
        </w:rPr>
        <w:t>3.4比较与评价。按招标文件中规定的评标方法和标准，对未作无效投标处理的投标文件进行技术、服务、商务等方面评估，综合比较与评价。</w:t>
      </w:r>
    </w:p>
    <w:p w14:paraId="39BD1C59">
      <w:pPr>
        <w:keepLines w:val="0"/>
        <w:pageBreakBefore w:val="0"/>
        <w:kinsoku/>
        <w:overflowPunct/>
        <w:bidi w:val="0"/>
        <w:spacing w:line="360" w:lineRule="auto"/>
        <w:ind w:firstLine="480" w:firstLineChars="200"/>
        <w:rPr>
          <w:color w:val="auto"/>
          <w:highlight w:val="none"/>
        </w:rPr>
      </w:pPr>
      <w:r>
        <w:rPr>
          <w:rFonts w:hint="eastAsia"/>
          <w:color w:val="auto"/>
          <w:highlight w:val="none"/>
        </w:rPr>
        <w:t>3.5复核。评分汇总结束后，评标委员会应当进行复核，特别要对拟推荐为中标候选供应商的、报价最低的、投标文件被认定为无效的进行重点复核。</w:t>
      </w:r>
    </w:p>
    <w:p w14:paraId="1E950B5D">
      <w:pPr>
        <w:keepLines w:val="0"/>
        <w:pageBreakBefore w:val="0"/>
        <w:kinsoku/>
        <w:overflowPunct/>
        <w:bidi w:val="0"/>
        <w:spacing w:line="360" w:lineRule="auto"/>
        <w:ind w:firstLine="480" w:firstLineChars="200"/>
        <w:rPr>
          <w:rFonts w:hint="eastAsia" w:eastAsia="宋体"/>
          <w:color w:val="auto"/>
          <w:highlight w:val="none"/>
          <w:lang w:eastAsia="zh-CN"/>
        </w:rPr>
      </w:pPr>
      <w:r>
        <w:rPr>
          <w:rFonts w:hint="eastAsia"/>
          <w:color w:val="auto"/>
          <w:highlight w:val="none"/>
        </w:rPr>
        <w:t>3.6推荐中标候选供应商。中标候选供应商应当排序。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优先选择不发达地区和少数民族地区的投标人；报价相同且满足招标文件全部实质性要求且按照评审因素的量化指标评审得分也相同无投标人均属于不发达地区和少数民族地区的或投标人均属于不发达地区和少数民族地区，由采购人自主采取公平、择优的方式选择</w:t>
      </w:r>
      <w:r>
        <w:rPr>
          <w:rFonts w:hint="eastAsia"/>
          <w:color w:val="auto"/>
          <w:highlight w:val="none"/>
          <w:lang w:eastAsia="zh-CN"/>
        </w:rPr>
        <w:t>中标人。</w:t>
      </w:r>
    </w:p>
    <w:p w14:paraId="241CF59A">
      <w:pPr>
        <w:keepLines w:val="0"/>
        <w:pageBreakBefore w:val="0"/>
        <w:kinsoku/>
        <w:overflowPunct/>
        <w:bidi w:val="0"/>
        <w:spacing w:line="360" w:lineRule="auto"/>
        <w:ind w:firstLine="480" w:firstLineChars="200"/>
        <w:rPr>
          <w:color w:val="auto"/>
          <w:highlight w:val="none"/>
        </w:rPr>
      </w:pPr>
      <w:r>
        <w:rPr>
          <w:rFonts w:hint="eastAsia"/>
          <w:color w:val="auto"/>
          <w:highlight w:val="none"/>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4EB733E1">
      <w:pPr>
        <w:keepLines w:val="0"/>
        <w:pageBreakBefore w:val="0"/>
        <w:kinsoku/>
        <w:overflowPunct/>
        <w:bidi w:val="0"/>
        <w:spacing w:line="360" w:lineRule="auto"/>
        <w:ind w:firstLine="480" w:firstLineChars="200"/>
        <w:rPr>
          <w:color w:val="auto"/>
          <w:highlight w:val="none"/>
        </w:rPr>
      </w:pPr>
      <w:r>
        <w:rPr>
          <w:rFonts w:hint="eastAsia"/>
          <w:color w:val="auto"/>
          <w:highlight w:val="none"/>
        </w:rPr>
        <w:t>3.7出具评标报告。评标委员会推荐中标候选供应商后，应当向招标采购单位出具评标报告。评标报告应当包括下列内容：</w:t>
      </w:r>
    </w:p>
    <w:p w14:paraId="49EE726A">
      <w:pPr>
        <w:keepLines w:val="0"/>
        <w:pageBreakBefore w:val="0"/>
        <w:kinsoku/>
        <w:overflowPunct/>
        <w:bidi w:val="0"/>
        <w:spacing w:line="360" w:lineRule="auto"/>
        <w:ind w:firstLine="480" w:firstLineChars="200"/>
        <w:rPr>
          <w:color w:val="auto"/>
          <w:highlight w:val="none"/>
        </w:rPr>
      </w:pPr>
      <w:r>
        <w:rPr>
          <w:rFonts w:hint="eastAsia"/>
          <w:color w:val="auto"/>
          <w:highlight w:val="none"/>
        </w:rPr>
        <w:t>（一）招标公告刊登的媒体名称、开标日期和地点；</w:t>
      </w:r>
    </w:p>
    <w:p w14:paraId="3DDAFDDE">
      <w:pPr>
        <w:keepLines w:val="0"/>
        <w:pageBreakBefore w:val="0"/>
        <w:kinsoku/>
        <w:overflowPunct/>
        <w:bidi w:val="0"/>
        <w:spacing w:line="360" w:lineRule="auto"/>
        <w:ind w:firstLine="480" w:firstLineChars="200"/>
        <w:rPr>
          <w:color w:val="auto"/>
          <w:highlight w:val="none"/>
        </w:rPr>
      </w:pPr>
      <w:r>
        <w:rPr>
          <w:rFonts w:hint="eastAsia"/>
          <w:color w:val="auto"/>
          <w:highlight w:val="none"/>
        </w:rPr>
        <w:t>（二）获取招标文件的投标人名单和评标委员会成员名单；</w:t>
      </w:r>
    </w:p>
    <w:p w14:paraId="6C2AE2FD">
      <w:pPr>
        <w:keepLines w:val="0"/>
        <w:pageBreakBefore w:val="0"/>
        <w:kinsoku/>
        <w:overflowPunct/>
        <w:bidi w:val="0"/>
        <w:spacing w:line="360" w:lineRule="auto"/>
        <w:ind w:firstLine="480" w:firstLineChars="200"/>
        <w:rPr>
          <w:color w:val="auto"/>
          <w:highlight w:val="none"/>
        </w:rPr>
      </w:pPr>
      <w:r>
        <w:rPr>
          <w:rFonts w:hint="eastAsia"/>
          <w:color w:val="auto"/>
          <w:highlight w:val="none"/>
        </w:rPr>
        <w:t>（三）评标方法和标准；</w:t>
      </w:r>
    </w:p>
    <w:p w14:paraId="46591EA5">
      <w:pPr>
        <w:keepLines w:val="0"/>
        <w:pageBreakBefore w:val="0"/>
        <w:kinsoku/>
        <w:overflowPunct/>
        <w:bidi w:val="0"/>
        <w:spacing w:line="360" w:lineRule="auto"/>
        <w:ind w:firstLine="480" w:firstLineChars="200"/>
        <w:rPr>
          <w:color w:val="auto"/>
          <w:highlight w:val="none"/>
        </w:rPr>
      </w:pPr>
      <w:r>
        <w:rPr>
          <w:rFonts w:hint="eastAsia"/>
          <w:color w:val="auto"/>
          <w:highlight w:val="none"/>
        </w:rPr>
        <w:t>（四）开标记录和评标情况及说明，包括无效投标人名单及原因；</w:t>
      </w:r>
    </w:p>
    <w:p w14:paraId="2D8D79EE">
      <w:pPr>
        <w:keepLines w:val="0"/>
        <w:pageBreakBefore w:val="0"/>
        <w:kinsoku/>
        <w:overflowPunct/>
        <w:bidi w:val="0"/>
        <w:spacing w:line="360" w:lineRule="auto"/>
        <w:ind w:firstLine="480" w:firstLineChars="200"/>
        <w:rPr>
          <w:color w:val="auto"/>
          <w:highlight w:val="none"/>
        </w:rPr>
      </w:pPr>
      <w:r>
        <w:rPr>
          <w:rFonts w:hint="eastAsia"/>
          <w:color w:val="auto"/>
          <w:highlight w:val="none"/>
        </w:rPr>
        <w:t>（五）评标结果和中标候选供应商排序表；</w:t>
      </w:r>
    </w:p>
    <w:p w14:paraId="6D5BE12B">
      <w:pPr>
        <w:keepLines w:val="0"/>
        <w:pageBreakBefore w:val="0"/>
        <w:kinsoku/>
        <w:overflowPunct/>
        <w:bidi w:val="0"/>
        <w:spacing w:line="360" w:lineRule="auto"/>
        <w:ind w:firstLine="480" w:firstLineChars="200"/>
        <w:rPr>
          <w:color w:val="auto"/>
          <w:highlight w:val="none"/>
        </w:rPr>
      </w:pPr>
      <w:r>
        <w:rPr>
          <w:rFonts w:hint="eastAsia"/>
          <w:color w:val="auto"/>
          <w:highlight w:val="none"/>
        </w:rPr>
        <w:t>（六）评标委员会授标建议；</w:t>
      </w:r>
    </w:p>
    <w:p w14:paraId="6D6A98A0">
      <w:pPr>
        <w:keepLines w:val="0"/>
        <w:pageBreakBefore w:val="0"/>
        <w:kinsoku/>
        <w:overflowPunct/>
        <w:bidi w:val="0"/>
        <w:spacing w:line="360" w:lineRule="auto"/>
        <w:ind w:firstLine="480" w:firstLineChars="200"/>
        <w:rPr>
          <w:color w:val="auto"/>
          <w:highlight w:val="none"/>
        </w:rPr>
      </w:pPr>
      <w:r>
        <w:rPr>
          <w:rFonts w:hint="eastAsia"/>
          <w:color w:val="auto"/>
          <w:highlight w:val="none"/>
        </w:rPr>
        <w:t>（七）报价最高的投标人为中标候选人的，评标委员会应当对其报价的合理性予以特别说明。</w:t>
      </w:r>
    </w:p>
    <w:p w14:paraId="06E69AE0">
      <w:pPr>
        <w:keepLines w:val="0"/>
        <w:pageBreakBefore w:val="0"/>
        <w:kinsoku/>
        <w:overflowPunct/>
        <w:bidi w:val="0"/>
        <w:spacing w:line="360" w:lineRule="auto"/>
        <w:ind w:firstLine="480" w:firstLineChars="200"/>
        <w:rPr>
          <w:color w:val="auto"/>
          <w:highlight w:val="none"/>
        </w:rPr>
      </w:pPr>
      <w:r>
        <w:rPr>
          <w:rFonts w:hint="eastAsia"/>
          <w:color w:val="auto"/>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66FCF785">
      <w:pPr>
        <w:keepLines w:val="0"/>
        <w:pageBreakBefore w:val="0"/>
        <w:kinsoku/>
        <w:overflowPunct/>
        <w:bidi w:val="0"/>
        <w:spacing w:line="360" w:lineRule="auto"/>
        <w:ind w:firstLine="480" w:firstLineChars="200"/>
        <w:rPr>
          <w:color w:val="auto"/>
          <w:highlight w:val="none"/>
        </w:rPr>
      </w:pPr>
      <w:r>
        <w:rPr>
          <w:rFonts w:hint="eastAsia"/>
          <w:color w:val="auto"/>
          <w:highlight w:val="none"/>
        </w:rPr>
        <w:t>3.8评标争议处理规则。评标委员会在评审过程中，对于符合性审查、对供应商投标文件做无效投标处理及其他需要共同认定的事项存在争议的，应当以少数服从多数的原则</w:t>
      </w:r>
      <w:r>
        <w:rPr>
          <w:rFonts w:hint="eastAsia"/>
          <w:color w:val="auto"/>
          <w:highlight w:val="none"/>
          <w:lang w:eastAsia="zh-CN"/>
        </w:rPr>
        <w:t>作出</w:t>
      </w:r>
      <w:r>
        <w:rPr>
          <w:rFonts w:hint="eastAsia"/>
          <w:color w:val="auto"/>
          <w:highlight w:val="none"/>
        </w:rPr>
        <w:t>结论，但不得违背法律法规和招标文件规定。有不同意见的评标委员会成员认为认定过程和结果不符合法律法规或者招标文件规定的，应当及时向招标采购单位书面反映。</w:t>
      </w:r>
    </w:p>
    <w:p w14:paraId="1831A49B">
      <w:pPr>
        <w:keepLines w:val="0"/>
        <w:pageBreakBefore w:val="0"/>
        <w:kinsoku/>
        <w:overflowPunct/>
        <w:bidi w:val="0"/>
        <w:spacing w:line="360" w:lineRule="auto"/>
        <w:ind w:firstLine="480" w:firstLineChars="200"/>
        <w:rPr>
          <w:color w:val="auto"/>
          <w:highlight w:val="none"/>
        </w:rPr>
      </w:pPr>
      <w:r>
        <w:rPr>
          <w:rFonts w:hint="eastAsia"/>
          <w:color w:val="auto"/>
          <w:highlight w:val="none"/>
        </w:rPr>
        <w:t>3.9供应商应当书面澄清、说明或者补正。</w:t>
      </w:r>
    </w:p>
    <w:p w14:paraId="462DB8BD">
      <w:pPr>
        <w:keepLines w:val="0"/>
        <w:pageBreakBefore w:val="0"/>
        <w:shd w:val="clear" w:color="auto" w:fill="FFFFFF"/>
        <w:kinsoku/>
        <w:overflowPunct/>
        <w:bidi w:val="0"/>
        <w:spacing w:line="360" w:lineRule="auto"/>
        <w:ind w:firstLine="480" w:firstLineChars="200"/>
        <w:rPr>
          <w:color w:val="auto"/>
          <w:highlight w:val="none"/>
        </w:rPr>
      </w:pPr>
      <w:r>
        <w:rPr>
          <w:rFonts w:hint="eastAsia"/>
          <w:color w:val="auto"/>
          <w:highlight w:val="none"/>
        </w:rPr>
        <w:t>3.9.1在评标过程中，对于投标文件中含义不明确、同类问题表述不一致或者有明显文字和计算错误的内容，评标委员会应当以书面形式要求投标人作出必要的澄清、说明或者补正。</w:t>
      </w:r>
    </w:p>
    <w:p w14:paraId="2DD60706">
      <w:pPr>
        <w:keepLines w:val="0"/>
        <w:pageBreakBefore w:val="0"/>
        <w:kinsoku/>
        <w:overflowPunct/>
        <w:bidi w:val="0"/>
        <w:spacing w:line="360" w:lineRule="auto"/>
        <w:ind w:firstLine="480" w:firstLineChars="200"/>
        <w:rPr>
          <w:color w:val="auto"/>
          <w:highlight w:val="none"/>
        </w:rPr>
      </w:pPr>
      <w:r>
        <w:rPr>
          <w:rFonts w:hint="eastAsia"/>
          <w:color w:val="auto"/>
          <w:highlight w:val="none"/>
        </w:rPr>
        <w:t>3.9.2供应商应当书面澄清、说明或者补正，并加盖公章或签字确认（供应商为法人的，应当由其法定代表人或者代理人签字确认；供应商为其他组织的，应当由其主要负责人或者代理人签字确认；供应商为自然人的，应当由其本人或者代理人签字确认），否则无效。澄清、说明或者补正不影响投标文件的效力，有效的澄清、说明或者补正材料，是投标文件的组成部分。</w:t>
      </w:r>
    </w:p>
    <w:p w14:paraId="4AE95275">
      <w:pPr>
        <w:keepLines w:val="0"/>
        <w:pageBreakBefore w:val="0"/>
        <w:kinsoku/>
        <w:overflowPunct/>
        <w:bidi w:val="0"/>
        <w:spacing w:line="360" w:lineRule="auto"/>
        <w:ind w:firstLine="480" w:firstLineChars="200"/>
        <w:rPr>
          <w:color w:val="auto"/>
          <w:highlight w:val="none"/>
        </w:rPr>
      </w:pPr>
      <w:r>
        <w:rPr>
          <w:rFonts w:hint="eastAsia"/>
          <w:color w:val="auto"/>
          <w:highlight w:val="none"/>
        </w:rPr>
        <w:t>3.9.3评标委员会要求供应商澄清、说明或者补正，不得超出招标文件的范围，不得以此让供应商实质改变投标文件的内容，不得影响供应商公平竞争。本项目下列内容不得澄清：</w:t>
      </w:r>
    </w:p>
    <w:p w14:paraId="6A254C9E">
      <w:pPr>
        <w:keepLines w:val="0"/>
        <w:pageBreakBefore w:val="0"/>
        <w:kinsoku/>
        <w:overflowPunct/>
        <w:bidi w:val="0"/>
        <w:spacing w:line="360" w:lineRule="auto"/>
        <w:ind w:firstLine="480" w:firstLineChars="200"/>
        <w:rPr>
          <w:color w:val="auto"/>
          <w:highlight w:val="none"/>
        </w:rPr>
      </w:pPr>
      <w:r>
        <w:rPr>
          <w:rFonts w:hint="eastAsia"/>
          <w:color w:val="auto"/>
          <w:highlight w:val="none"/>
        </w:rPr>
        <w:t>（一）按财政部规定应当在评标时不予承认的投标文件内容事项；</w:t>
      </w:r>
    </w:p>
    <w:p w14:paraId="4E48DAD6">
      <w:pPr>
        <w:keepLines w:val="0"/>
        <w:pageBreakBefore w:val="0"/>
        <w:kinsoku/>
        <w:overflowPunct/>
        <w:bidi w:val="0"/>
        <w:spacing w:line="360" w:lineRule="auto"/>
        <w:ind w:firstLine="480" w:firstLineChars="200"/>
        <w:rPr>
          <w:color w:val="auto"/>
          <w:highlight w:val="none"/>
        </w:rPr>
      </w:pPr>
      <w:r>
        <w:rPr>
          <w:rFonts w:hint="eastAsia"/>
          <w:color w:val="auto"/>
          <w:highlight w:val="none"/>
        </w:rPr>
        <w:t>（二）投标文件中已经明确的内容事项；</w:t>
      </w:r>
    </w:p>
    <w:p w14:paraId="5826AC72">
      <w:pPr>
        <w:keepLines w:val="0"/>
        <w:pageBreakBefore w:val="0"/>
        <w:kinsoku/>
        <w:overflowPunct/>
        <w:bidi w:val="0"/>
        <w:spacing w:line="360" w:lineRule="auto"/>
        <w:ind w:firstLine="480" w:firstLineChars="200"/>
        <w:rPr>
          <w:color w:val="auto"/>
          <w:highlight w:val="none"/>
        </w:rPr>
      </w:pPr>
      <w:r>
        <w:rPr>
          <w:rFonts w:hint="eastAsia"/>
          <w:color w:val="auto"/>
          <w:highlight w:val="none"/>
        </w:rPr>
        <w:t>（三）投标文件未提供的材料。</w:t>
      </w:r>
    </w:p>
    <w:p w14:paraId="1919A4CF">
      <w:pPr>
        <w:keepLines w:val="0"/>
        <w:pageBreakBefore w:val="0"/>
        <w:kinsoku/>
        <w:overflowPunct/>
        <w:bidi w:val="0"/>
        <w:spacing w:line="360" w:lineRule="auto"/>
        <w:ind w:firstLine="480" w:firstLineChars="200"/>
        <w:rPr>
          <w:color w:val="auto"/>
          <w:highlight w:val="none"/>
        </w:rPr>
      </w:pPr>
      <w:r>
        <w:rPr>
          <w:rFonts w:hint="eastAsia"/>
          <w:color w:val="auto"/>
          <w:highlight w:val="none"/>
        </w:rPr>
        <w:t>3.9.4 本项目采购过程中，投标文件出现下列情况的，不需要供应商澄清、说明或者补正，按照以下原则处理：</w:t>
      </w:r>
    </w:p>
    <w:p w14:paraId="07926878">
      <w:pPr>
        <w:keepLines w:val="0"/>
        <w:pageBreakBefore w:val="0"/>
        <w:kinsoku/>
        <w:overflowPunct/>
        <w:bidi w:val="0"/>
        <w:spacing w:line="360" w:lineRule="auto"/>
        <w:ind w:firstLine="480" w:firstLineChars="200"/>
        <w:rPr>
          <w:color w:val="auto"/>
          <w:highlight w:val="none"/>
        </w:rPr>
      </w:pPr>
      <w:r>
        <w:rPr>
          <w:rFonts w:hint="eastAsia"/>
          <w:color w:val="auto"/>
          <w:highlight w:val="none"/>
        </w:rPr>
        <w:t>（一）投标文件的大写金额和小写金额不一致的，以大写金额为准，但大写金额出现文字错误，导致金额无法判断的除外；</w:t>
      </w:r>
    </w:p>
    <w:p w14:paraId="4C36B17E">
      <w:pPr>
        <w:keepLines w:val="0"/>
        <w:pageBreakBefore w:val="0"/>
        <w:kinsoku/>
        <w:overflowPunct/>
        <w:bidi w:val="0"/>
        <w:spacing w:line="360" w:lineRule="auto"/>
        <w:ind w:firstLine="480" w:firstLineChars="200"/>
        <w:rPr>
          <w:color w:val="auto"/>
          <w:highlight w:val="none"/>
        </w:rPr>
      </w:pPr>
      <w:r>
        <w:rPr>
          <w:rFonts w:hint="eastAsia"/>
          <w:color w:val="auto"/>
          <w:highlight w:val="none"/>
        </w:rPr>
        <w:t>（二）总价金额与按单价汇总金额不一致的，以单价汇总金额计算结果为准，但是单价金额出现计算错误、明显人为工作失误的除外；</w:t>
      </w:r>
    </w:p>
    <w:p w14:paraId="776D69E1">
      <w:pPr>
        <w:keepLines w:val="0"/>
        <w:pageBreakBefore w:val="0"/>
        <w:kinsoku/>
        <w:overflowPunct/>
        <w:bidi w:val="0"/>
        <w:spacing w:line="360" w:lineRule="auto"/>
        <w:ind w:firstLine="480" w:firstLineChars="200"/>
        <w:rPr>
          <w:color w:val="auto"/>
          <w:highlight w:val="none"/>
        </w:rPr>
      </w:pPr>
      <w:r>
        <w:rPr>
          <w:rFonts w:hint="eastAsia"/>
          <w:color w:val="auto"/>
          <w:highlight w:val="none"/>
        </w:rPr>
        <w:t>（三）单价金额小数点有明显错位的，应以总价为准，并修改单价；</w:t>
      </w:r>
    </w:p>
    <w:p w14:paraId="4CB61FE0">
      <w:pPr>
        <w:keepLines w:val="0"/>
        <w:pageBreakBefore w:val="0"/>
        <w:kinsoku/>
        <w:overflowPunct/>
        <w:bidi w:val="0"/>
        <w:spacing w:line="360" w:lineRule="auto"/>
        <w:ind w:firstLine="480" w:firstLineChars="200"/>
        <w:rPr>
          <w:color w:val="auto"/>
          <w:highlight w:val="none"/>
        </w:rPr>
      </w:pPr>
      <w:r>
        <w:rPr>
          <w:rFonts w:hint="eastAsia"/>
          <w:color w:val="auto"/>
          <w:highlight w:val="none"/>
        </w:rPr>
        <w:t>（四）对不同语言文本投标文件的解释发生异议的，以中文文本为准。</w:t>
      </w:r>
    </w:p>
    <w:p w14:paraId="3D304FC0">
      <w:pPr>
        <w:keepLines w:val="0"/>
        <w:pageBreakBefore w:val="0"/>
        <w:kinsoku/>
        <w:overflowPunct/>
        <w:bidi w:val="0"/>
        <w:spacing w:line="360" w:lineRule="auto"/>
        <w:ind w:firstLine="480" w:firstLineChars="200"/>
        <w:rPr>
          <w:color w:val="auto"/>
          <w:highlight w:val="none"/>
        </w:rPr>
      </w:pPr>
      <w:r>
        <w:rPr>
          <w:rFonts w:hint="eastAsia"/>
          <w:color w:val="auto"/>
          <w:highlight w:val="none"/>
        </w:rPr>
        <w:t>出现本条第（二）项规定情形，单价汇总金额比总价金额高，且超过政府采购预算或者本项目最高限价的，供应商投标文件应作为无效投标处理；单价汇总金额比总价金额高，但未超过政府采购预算或者本项目最高限价的，应以单价汇总金额作为价格评分依据。</w:t>
      </w:r>
    </w:p>
    <w:p w14:paraId="7CAA40C2">
      <w:pPr>
        <w:keepLines w:val="0"/>
        <w:pageBreakBefore w:val="0"/>
        <w:kinsoku/>
        <w:overflowPunct/>
        <w:bidi w:val="0"/>
        <w:spacing w:line="360" w:lineRule="auto"/>
        <w:ind w:firstLine="482" w:firstLineChars="200"/>
        <w:rPr>
          <w:b/>
          <w:color w:val="auto"/>
          <w:highlight w:val="none"/>
        </w:rPr>
      </w:pPr>
      <w:r>
        <w:rPr>
          <w:rFonts w:hint="eastAsia"/>
          <w:b/>
          <w:color w:val="auto"/>
          <w:highlight w:val="none"/>
        </w:rPr>
        <w:t>注：评标委员会当积极履行澄清、说明或者补正的职责，不得滥用权力。供应商的投标文件可以要求澄清、说明或者补正的，不得未经澄清、说明或者补正而直接作无效投标处理。</w:t>
      </w:r>
    </w:p>
    <w:p w14:paraId="101E2395">
      <w:pPr>
        <w:pStyle w:val="99"/>
        <w:keepLines w:val="0"/>
        <w:pageBreakBefore w:val="0"/>
        <w:kinsoku/>
        <w:overflowPunct/>
        <w:bidi w:val="0"/>
        <w:spacing w:line="360" w:lineRule="auto"/>
        <w:ind w:firstLine="480" w:firstLineChars="200"/>
        <w:jc w:val="both"/>
        <w:rPr>
          <w:color w:val="auto"/>
          <w:highlight w:val="none"/>
        </w:rPr>
      </w:pPr>
      <w:r>
        <w:rPr>
          <w:rFonts w:hint="eastAsia"/>
          <w:color w:val="auto"/>
          <w:highlight w:val="none"/>
        </w:rPr>
        <w:t>3.10低于成本价投标处理。在评标过程中，</w:t>
      </w:r>
      <w:r>
        <w:rPr>
          <w:rFonts w:hint="eastAsia"/>
          <w:color w:val="auto"/>
          <w:highlight w:val="none"/>
          <w:lang w:val="zh-CN"/>
        </w:rPr>
        <w:t>评标委员会认为投标人的报价明显低于其他通过符合性审查投标人的报价或</w:t>
      </w:r>
      <w:r>
        <w:rPr>
          <w:rFonts w:hint="eastAsia"/>
          <w:color w:val="auto"/>
          <w:szCs w:val="21"/>
          <w:highlight w:val="none"/>
          <w:lang w:val="zh-CN"/>
        </w:rPr>
        <w:t>评</w:t>
      </w:r>
      <w:r>
        <w:rPr>
          <w:rFonts w:hint="eastAsia"/>
          <w:color w:val="auto"/>
          <w:highlight w:val="none"/>
          <w:lang w:val="zh-CN"/>
        </w:rPr>
        <w:t>标</w:t>
      </w:r>
      <w:r>
        <w:rPr>
          <w:rFonts w:hint="eastAsia"/>
          <w:color w:val="auto"/>
          <w:szCs w:val="21"/>
          <w:highlight w:val="none"/>
          <w:lang w:val="zh-CN"/>
        </w:rPr>
        <w:t>委员认为投标人的报价明显低于成本价或投标人报价低于采购预算</w:t>
      </w:r>
      <w:r>
        <w:rPr>
          <w:color w:val="auto"/>
          <w:szCs w:val="21"/>
          <w:highlight w:val="none"/>
          <w:lang w:val="zh-CN"/>
        </w:rPr>
        <w:t>50%或者低于其他有效投标人报价算术平均价40%</w:t>
      </w:r>
      <w:r>
        <w:rPr>
          <w:rFonts w:hint="eastAsia"/>
          <w:color w:val="auto"/>
          <w:highlight w:val="none"/>
        </w:rPr>
        <w:t>，</w:t>
      </w:r>
      <w:r>
        <w:rPr>
          <w:rFonts w:hint="eastAsia"/>
          <w:color w:val="auto"/>
          <w:highlight w:val="none"/>
          <w:lang w:val="zh-CN"/>
        </w:rPr>
        <w:t>有可能影响产品质量或者不能诚信履约的</w:t>
      </w:r>
      <w:r>
        <w:rPr>
          <w:rFonts w:hint="eastAsia"/>
          <w:color w:val="auto"/>
          <w:highlight w:val="none"/>
        </w:rPr>
        <w:t>评标委员会应当要求其在评标现场合理的时间内提供成本构成书面说明，并提交相关证明材料。供应商书面说明应当按照国家财务会计制度的规定要求，逐项就供应商提供的货物、工程和服务的主营业务成本（应根据供应商企业类型予以区别）、税金及附加、销售费用、管理费用、财务费用等成本构成事项详细陈述。</w:t>
      </w:r>
    </w:p>
    <w:p w14:paraId="114CA0DA">
      <w:pPr>
        <w:pStyle w:val="99"/>
        <w:keepLines w:val="0"/>
        <w:pageBreakBefore w:val="0"/>
        <w:kinsoku/>
        <w:overflowPunct/>
        <w:bidi w:val="0"/>
        <w:spacing w:line="360" w:lineRule="auto"/>
        <w:ind w:firstLine="480" w:firstLineChars="200"/>
        <w:jc w:val="both"/>
        <w:rPr>
          <w:color w:val="auto"/>
          <w:highlight w:val="none"/>
        </w:rPr>
      </w:pPr>
      <w:r>
        <w:rPr>
          <w:rFonts w:hint="eastAsia"/>
          <w:color w:val="auto"/>
          <w:highlight w:val="none"/>
        </w:rPr>
        <w:t>供应商书面说明应当签字确认或者加盖公章，否则无效。书面说明的签字确认，供应商为法人的，由其法定代表人或者代理人签字确认；供应商为其他组织的，由其主要负责人或者代理人签字确认；供应商为自然人的，由其本人或者代理人签字确认。</w:t>
      </w:r>
    </w:p>
    <w:p w14:paraId="5049EBED">
      <w:pPr>
        <w:pStyle w:val="99"/>
        <w:keepLines w:val="0"/>
        <w:pageBreakBefore w:val="0"/>
        <w:kinsoku/>
        <w:overflowPunct/>
        <w:bidi w:val="0"/>
        <w:spacing w:line="360" w:lineRule="auto"/>
        <w:ind w:firstLine="480" w:firstLineChars="200"/>
        <w:jc w:val="both"/>
        <w:rPr>
          <w:color w:val="auto"/>
          <w:highlight w:val="none"/>
        </w:rPr>
      </w:pPr>
      <w:r>
        <w:rPr>
          <w:rFonts w:hint="eastAsia"/>
          <w:color w:val="auto"/>
          <w:highlight w:val="none"/>
        </w:rPr>
        <w:t>供应商提供书面说明后，评标委员会应当结合采购项目采购需求、专业实际情况、供应商财务状况报告、与其他供应商比较情况等就供应商书面说明进行审查评价。供应商拒绝或者变相拒绝提供有效书面说明或者书面说明不能证明其报价合理性的，评标委员会应当将其投标文件、响应文件作为无效处理。</w:t>
      </w:r>
    </w:p>
    <w:p w14:paraId="4B5D0996">
      <w:pPr>
        <w:pStyle w:val="99"/>
        <w:keepLines w:val="0"/>
        <w:pageBreakBefore w:val="0"/>
        <w:kinsoku/>
        <w:overflowPunct/>
        <w:bidi w:val="0"/>
        <w:spacing w:line="360" w:lineRule="auto"/>
        <w:ind w:firstLine="480" w:firstLineChars="200"/>
        <w:jc w:val="both"/>
        <w:rPr>
          <w:color w:val="auto"/>
          <w:highlight w:val="none"/>
        </w:rPr>
      </w:pPr>
      <w:r>
        <w:rPr>
          <w:rFonts w:hint="eastAsia"/>
          <w:color w:val="auto"/>
          <w:highlight w:val="none"/>
        </w:rPr>
        <w:t>3.11 招标采购单位现场复核评标结果。</w:t>
      </w:r>
    </w:p>
    <w:p w14:paraId="18995ABE">
      <w:pPr>
        <w:pStyle w:val="99"/>
        <w:keepLines w:val="0"/>
        <w:pageBreakBefore w:val="0"/>
        <w:kinsoku/>
        <w:overflowPunct/>
        <w:bidi w:val="0"/>
        <w:spacing w:line="360" w:lineRule="auto"/>
        <w:ind w:firstLine="480" w:firstLineChars="200"/>
        <w:jc w:val="both"/>
        <w:rPr>
          <w:color w:val="auto"/>
          <w:highlight w:val="none"/>
        </w:rPr>
      </w:pPr>
      <w:r>
        <w:rPr>
          <w:rFonts w:hint="eastAsia"/>
          <w:color w:val="auto"/>
          <w:highlight w:val="none"/>
        </w:rPr>
        <w:t>3.11.1评标结果汇总完成后，评标委员会拟出具评标报告前，招标采购单位应当组织2名以上的本单位工作人员，在采购现场监督人员的监督之下，依据有关的法律制度和采购文件对评标结果进行复核，出具复核报告。存在下列情形之一的，招标采购单位应当根据情况书面建议评标委员会现场修改评标结果：</w:t>
      </w:r>
    </w:p>
    <w:p w14:paraId="32192214">
      <w:pPr>
        <w:pStyle w:val="99"/>
        <w:keepLines w:val="0"/>
        <w:pageBreakBefore w:val="0"/>
        <w:kinsoku/>
        <w:overflowPunct/>
        <w:bidi w:val="0"/>
        <w:spacing w:line="360" w:lineRule="auto"/>
        <w:ind w:firstLine="480" w:firstLineChars="200"/>
        <w:rPr>
          <w:color w:val="auto"/>
          <w:highlight w:val="none"/>
        </w:rPr>
      </w:pPr>
      <w:r>
        <w:rPr>
          <w:rFonts w:hint="eastAsia"/>
          <w:color w:val="auto"/>
          <w:highlight w:val="none"/>
        </w:rPr>
        <w:t>（一）分值汇总计算错误的；</w:t>
      </w:r>
    </w:p>
    <w:p w14:paraId="6A2AE3B8">
      <w:pPr>
        <w:pStyle w:val="99"/>
        <w:keepLines w:val="0"/>
        <w:pageBreakBefore w:val="0"/>
        <w:kinsoku/>
        <w:overflowPunct/>
        <w:bidi w:val="0"/>
        <w:spacing w:line="360" w:lineRule="auto"/>
        <w:ind w:firstLine="480" w:firstLineChars="200"/>
        <w:rPr>
          <w:color w:val="auto"/>
          <w:highlight w:val="none"/>
        </w:rPr>
      </w:pPr>
      <w:r>
        <w:rPr>
          <w:rFonts w:hint="eastAsia"/>
          <w:color w:val="auto"/>
          <w:highlight w:val="none"/>
        </w:rPr>
        <w:t>（二）分项评分超出评分标准范围的；</w:t>
      </w:r>
    </w:p>
    <w:p w14:paraId="33021E54">
      <w:pPr>
        <w:pStyle w:val="99"/>
        <w:keepLines w:val="0"/>
        <w:pageBreakBefore w:val="0"/>
        <w:kinsoku/>
        <w:overflowPunct/>
        <w:bidi w:val="0"/>
        <w:spacing w:line="360" w:lineRule="auto"/>
        <w:ind w:firstLine="480" w:firstLineChars="200"/>
        <w:rPr>
          <w:color w:val="auto"/>
          <w:highlight w:val="none"/>
        </w:rPr>
      </w:pPr>
      <w:r>
        <w:rPr>
          <w:rFonts w:hint="eastAsia"/>
          <w:color w:val="auto"/>
          <w:highlight w:val="none"/>
        </w:rPr>
        <w:t>（三）评标委员会成员对客观评审因素评分不一致的；</w:t>
      </w:r>
    </w:p>
    <w:p w14:paraId="4E9A9879">
      <w:pPr>
        <w:pStyle w:val="99"/>
        <w:keepLines w:val="0"/>
        <w:pageBreakBefore w:val="0"/>
        <w:kinsoku/>
        <w:overflowPunct/>
        <w:bidi w:val="0"/>
        <w:spacing w:line="360" w:lineRule="auto"/>
        <w:ind w:firstLine="480" w:firstLineChars="200"/>
        <w:jc w:val="both"/>
        <w:rPr>
          <w:color w:val="auto"/>
          <w:highlight w:val="none"/>
        </w:rPr>
      </w:pPr>
      <w:r>
        <w:rPr>
          <w:rFonts w:hint="eastAsia"/>
          <w:color w:val="auto"/>
          <w:highlight w:val="none"/>
        </w:rPr>
        <w:t>（四）经评标委员会认定评分畸高、畸低的。</w:t>
      </w:r>
    </w:p>
    <w:p w14:paraId="17BFCA55">
      <w:pPr>
        <w:pStyle w:val="99"/>
        <w:keepLines w:val="0"/>
        <w:pageBreakBefore w:val="0"/>
        <w:kinsoku/>
        <w:overflowPunct/>
        <w:bidi w:val="0"/>
        <w:spacing w:line="360" w:lineRule="auto"/>
        <w:ind w:firstLine="480" w:firstLineChars="200"/>
        <w:jc w:val="both"/>
        <w:rPr>
          <w:color w:val="auto"/>
          <w:highlight w:val="none"/>
        </w:rPr>
      </w:pPr>
      <w:r>
        <w:rPr>
          <w:rFonts w:hint="eastAsia"/>
          <w:color w:val="auto"/>
          <w:highlight w:val="none"/>
        </w:rPr>
        <w:t>存在本条上述规定情形的，由评标委员会自主决定是否采纳招标采购单位的书面建议，并承担独立评审责任。评标委员会采纳招标采购单位书面建议的，应当按照规定现场修改评标结果，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评标报告签署后，采购人或者采购代理机构发现存在以上情形之一的，应当组织原评标委员会进行重新评审，重新评审改变评标结果的，书面报告本级财政部门。</w:t>
      </w:r>
    </w:p>
    <w:p w14:paraId="5395C9C3">
      <w:pPr>
        <w:pStyle w:val="99"/>
        <w:keepLines w:val="0"/>
        <w:pageBreakBefore w:val="0"/>
        <w:kinsoku/>
        <w:overflowPunct/>
        <w:bidi w:val="0"/>
        <w:spacing w:line="360" w:lineRule="auto"/>
        <w:ind w:firstLine="480" w:firstLineChars="200"/>
        <w:jc w:val="both"/>
        <w:rPr>
          <w:color w:val="auto"/>
          <w:highlight w:val="none"/>
        </w:rPr>
      </w:pPr>
      <w:r>
        <w:rPr>
          <w:rFonts w:hint="eastAsia"/>
          <w:color w:val="auto"/>
          <w:highlight w:val="none"/>
        </w:rPr>
        <w:t>3.11.2有下列情形之一的，不得修改评标结果或者重新评标：</w:t>
      </w:r>
    </w:p>
    <w:p w14:paraId="26898F6D">
      <w:pPr>
        <w:pStyle w:val="99"/>
        <w:keepLines w:val="0"/>
        <w:pageBreakBefore w:val="0"/>
        <w:kinsoku/>
        <w:overflowPunct/>
        <w:bidi w:val="0"/>
        <w:spacing w:line="360" w:lineRule="auto"/>
        <w:ind w:firstLine="480" w:firstLineChars="200"/>
        <w:jc w:val="both"/>
        <w:rPr>
          <w:color w:val="auto"/>
          <w:highlight w:val="none"/>
        </w:rPr>
      </w:pPr>
      <w:r>
        <w:rPr>
          <w:rFonts w:hint="eastAsia"/>
          <w:color w:val="auto"/>
          <w:highlight w:val="none"/>
        </w:rPr>
        <w:t>（一）评标委员会已经出具评标报告并且离开评标现场的；</w:t>
      </w:r>
    </w:p>
    <w:p w14:paraId="084AAFF0">
      <w:pPr>
        <w:pStyle w:val="99"/>
        <w:keepLines w:val="0"/>
        <w:pageBreakBefore w:val="0"/>
        <w:kinsoku/>
        <w:overflowPunct/>
        <w:bidi w:val="0"/>
        <w:spacing w:line="360" w:lineRule="auto"/>
        <w:ind w:firstLine="480" w:firstLineChars="200"/>
        <w:jc w:val="both"/>
        <w:rPr>
          <w:color w:val="auto"/>
          <w:highlight w:val="none"/>
        </w:rPr>
      </w:pPr>
      <w:r>
        <w:rPr>
          <w:rFonts w:hint="eastAsia"/>
          <w:color w:val="auto"/>
          <w:highlight w:val="none"/>
        </w:rPr>
        <w:t>（二）招标采购单位现场复核时，复核工作人员数量不足的；</w:t>
      </w:r>
    </w:p>
    <w:p w14:paraId="1E2F45F6">
      <w:pPr>
        <w:pStyle w:val="99"/>
        <w:keepLines w:val="0"/>
        <w:pageBreakBefore w:val="0"/>
        <w:kinsoku/>
        <w:overflowPunct/>
        <w:bidi w:val="0"/>
        <w:spacing w:line="360" w:lineRule="auto"/>
        <w:ind w:firstLine="480" w:firstLineChars="200"/>
        <w:jc w:val="both"/>
        <w:rPr>
          <w:color w:val="auto"/>
          <w:highlight w:val="none"/>
        </w:rPr>
      </w:pPr>
      <w:r>
        <w:rPr>
          <w:rFonts w:hint="eastAsia"/>
          <w:color w:val="auto"/>
          <w:highlight w:val="none"/>
        </w:rPr>
        <w:t>（三）招标采购单位现场复核时，没有采购监督人员现场监督的；</w:t>
      </w:r>
    </w:p>
    <w:p w14:paraId="57E1B877">
      <w:pPr>
        <w:pStyle w:val="99"/>
        <w:keepLines w:val="0"/>
        <w:pageBreakBefore w:val="0"/>
        <w:kinsoku/>
        <w:overflowPunct/>
        <w:bidi w:val="0"/>
        <w:spacing w:line="360" w:lineRule="auto"/>
        <w:ind w:firstLine="480" w:firstLineChars="200"/>
        <w:jc w:val="both"/>
        <w:rPr>
          <w:color w:val="auto"/>
          <w:highlight w:val="none"/>
        </w:rPr>
      </w:pPr>
      <w:r>
        <w:rPr>
          <w:rFonts w:hint="eastAsia"/>
          <w:color w:val="auto"/>
          <w:highlight w:val="none"/>
        </w:rPr>
        <w:t>（四）招标采购单位现场复核内容超出规定范围的；</w:t>
      </w:r>
    </w:p>
    <w:p w14:paraId="66FF10E9">
      <w:pPr>
        <w:pStyle w:val="99"/>
        <w:keepLines w:val="0"/>
        <w:pageBreakBefore w:val="0"/>
        <w:kinsoku/>
        <w:overflowPunct/>
        <w:bidi w:val="0"/>
        <w:spacing w:line="360" w:lineRule="auto"/>
        <w:ind w:firstLine="480" w:firstLineChars="200"/>
        <w:jc w:val="both"/>
        <w:rPr>
          <w:color w:val="auto"/>
          <w:highlight w:val="none"/>
        </w:rPr>
      </w:pPr>
      <w:r>
        <w:rPr>
          <w:rFonts w:hint="eastAsia"/>
          <w:color w:val="auto"/>
          <w:highlight w:val="none"/>
        </w:rPr>
        <w:t>（五）招标采购单位未提供书面建议的。</w:t>
      </w:r>
    </w:p>
    <w:p w14:paraId="30A3A859">
      <w:pPr>
        <w:pStyle w:val="4"/>
        <w:keepLines w:val="0"/>
        <w:pageBreakBefore w:val="0"/>
        <w:kinsoku/>
        <w:overflowPunct/>
        <w:bidi w:val="0"/>
        <w:spacing w:before="0" w:after="0" w:line="360" w:lineRule="auto"/>
        <w:ind w:firstLine="482"/>
        <w:rPr>
          <w:rFonts w:hint="eastAsia"/>
          <w:color w:val="auto"/>
          <w:highlight w:val="none"/>
        </w:rPr>
      </w:pPr>
      <w:r>
        <w:rPr>
          <w:rFonts w:hint="eastAsia"/>
          <w:color w:val="auto"/>
          <w:highlight w:val="none"/>
        </w:rPr>
        <w:t>4. 评标细则及标准</w:t>
      </w:r>
      <w:bookmarkEnd w:id="180"/>
    </w:p>
    <w:p w14:paraId="32E5EA2C">
      <w:pPr>
        <w:keepLines w:val="0"/>
        <w:pageBreakBefore w:val="0"/>
        <w:kinsoku/>
        <w:overflowPunct/>
        <w:bidi w:val="0"/>
        <w:spacing w:line="360" w:lineRule="auto"/>
        <w:ind w:firstLine="480" w:firstLineChars="200"/>
        <w:rPr>
          <w:color w:val="auto"/>
          <w:highlight w:val="none"/>
        </w:rPr>
      </w:pPr>
      <w:r>
        <w:rPr>
          <w:rFonts w:hint="eastAsia"/>
          <w:color w:val="auto"/>
          <w:highlight w:val="none"/>
        </w:rPr>
        <w:t>4.1 评标委员会成员应当根据自身专业情况对每个有效投标供应商的投标文件进行独立评分，加权汇总每项评分因素的得分，得出每个有效投标供应商的总分。采购人代表原则上对技术类评分因素独立评分。其他不能明确区分的评分因素由评标委员会成员共同评分。</w:t>
      </w:r>
    </w:p>
    <w:p w14:paraId="119BFBDA">
      <w:pPr>
        <w:keepLines w:val="0"/>
        <w:pageBreakBefore w:val="0"/>
        <w:kinsoku/>
        <w:overflowPunct/>
        <w:bidi w:val="0"/>
        <w:spacing w:line="360" w:lineRule="auto"/>
        <w:ind w:firstLine="480" w:firstLineChars="200"/>
        <w:rPr>
          <w:rFonts w:hint="eastAsia"/>
          <w:color w:val="auto"/>
          <w:highlight w:val="none"/>
        </w:rPr>
      </w:pPr>
      <w:r>
        <w:rPr>
          <w:rFonts w:hint="eastAsia"/>
          <w:color w:val="auto"/>
          <w:highlight w:val="none"/>
        </w:rPr>
        <w:t>4.2</w:t>
      </w:r>
      <w:bookmarkStart w:id="181" w:name="_Toc217446060"/>
      <w:r>
        <w:rPr>
          <w:rFonts w:hint="eastAsia"/>
          <w:color w:val="auto"/>
          <w:highlight w:val="none"/>
          <w:lang w:val="en-US" w:eastAsia="zh-CN"/>
        </w:rPr>
        <w:t xml:space="preserve"> </w:t>
      </w:r>
      <w:r>
        <w:rPr>
          <w:rFonts w:hint="eastAsia"/>
          <w:color w:val="auto"/>
          <w:highlight w:val="none"/>
        </w:rPr>
        <w:t>综合评分明细表：</w:t>
      </w:r>
    </w:p>
    <w:tbl>
      <w:tblPr>
        <w:tblStyle w:val="47"/>
        <w:tblW w:w="9852" w:type="dxa"/>
        <w:jc w:val="center"/>
        <w:tblBorders>
          <w:top w:val="double" w:color="333333" w:sz="4" w:space="0"/>
          <w:left w:val="double" w:color="333333" w:sz="4" w:space="0"/>
          <w:bottom w:val="double" w:color="333333" w:sz="4" w:space="0"/>
          <w:right w:val="double" w:color="333333" w:sz="4" w:space="0"/>
          <w:insideH w:val="double" w:color="333333" w:sz="4" w:space="0"/>
          <w:insideV w:val="double" w:color="333333" w:sz="4" w:space="0"/>
        </w:tblBorders>
        <w:tblLayout w:type="autofit"/>
        <w:tblCellMar>
          <w:top w:w="0" w:type="dxa"/>
          <w:left w:w="0" w:type="dxa"/>
          <w:bottom w:w="0" w:type="dxa"/>
          <w:right w:w="0" w:type="dxa"/>
        </w:tblCellMar>
      </w:tblPr>
      <w:tblGrid>
        <w:gridCol w:w="917"/>
        <w:gridCol w:w="935"/>
        <w:gridCol w:w="975"/>
        <w:gridCol w:w="5618"/>
        <w:gridCol w:w="560"/>
        <w:gridCol w:w="847"/>
      </w:tblGrid>
      <w:tr w14:paraId="6BAAFB96">
        <w:tblPrEx>
          <w:tblBorders>
            <w:top w:val="double" w:color="333333" w:sz="4" w:space="0"/>
            <w:left w:val="double" w:color="333333" w:sz="4" w:space="0"/>
            <w:bottom w:val="double" w:color="333333" w:sz="4" w:space="0"/>
            <w:right w:val="double" w:color="333333" w:sz="4" w:space="0"/>
            <w:insideH w:val="double" w:color="333333" w:sz="4" w:space="0"/>
            <w:insideV w:val="double" w:color="333333" w:sz="4" w:space="0"/>
          </w:tblBorders>
          <w:tblCellMar>
            <w:top w:w="0" w:type="dxa"/>
            <w:left w:w="0" w:type="dxa"/>
            <w:bottom w:w="0" w:type="dxa"/>
            <w:right w:w="0" w:type="dxa"/>
          </w:tblCellMar>
        </w:tblPrEx>
        <w:trPr>
          <w:trHeight w:val="482" w:hRule="atLeast"/>
          <w:jc w:val="center"/>
        </w:trPr>
        <w:tc>
          <w:tcPr>
            <w:tcW w:w="917" w:type="dxa"/>
            <w:tcBorders>
              <w:tl2br w:val="nil"/>
              <w:tr2bl w:val="nil"/>
            </w:tcBorders>
            <w:noWrap w:val="0"/>
            <w:tcMar>
              <w:top w:w="75" w:type="dxa"/>
              <w:left w:w="120" w:type="dxa"/>
              <w:bottom w:w="75" w:type="dxa"/>
              <w:right w:w="120" w:type="dxa"/>
            </w:tcMar>
            <w:vAlign w:val="center"/>
          </w:tcPr>
          <w:p w14:paraId="790063AC">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outlineLvl w:val="9"/>
              <w:rPr>
                <w:rFonts w:hint="default" w:ascii="Times New Roman Regular" w:hAnsi="Times New Roman Regular" w:eastAsia="宋体" w:cs="Times New Roman Regular"/>
                <w:b/>
                <w:color w:val="auto"/>
                <w:sz w:val="24"/>
                <w:szCs w:val="24"/>
                <w:highlight w:val="none"/>
              </w:rPr>
            </w:pPr>
            <w:r>
              <w:rPr>
                <w:rFonts w:hint="default" w:ascii="Times New Roman Regular" w:hAnsi="Times New Roman Regular" w:eastAsia="宋体" w:cs="Times New Roman Regular"/>
                <w:b/>
                <w:color w:val="auto"/>
                <w:sz w:val="24"/>
                <w:szCs w:val="24"/>
                <w:highlight w:val="none"/>
                <w:lang w:bidi="ar"/>
              </w:rPr>
              <w:t>评审项编号</w:t>
            </w:r>
          </w:p>
        </w:tc>
        <w:tc>
          <w:tcPr>
            <w:tcW w:w="935" w:type="dxa"/>
            <w:tcBorders>
              <w:tl2br w:val="nil"/>
              <w:tr2bl w:val="nil"/>
            </w:tcBorders>
            <w:noWrap w:val="0"/>
            <w:tcMar>
              <w:top w:w="75" w:type="dxa"/>
              <w:left w:w="120" w:type="dxa"/>
              <w:bottom w:w="75" w:type="dxa"/>
              <w:right w:w="120" w:type="dxa"/>
            </w:tcMar>
            <w:vAlign w:val="center"/>
          </w:tcPr>
          <w:p w14:paraId="407D511D">
            <w:pPr>
              <w:keepNext w:val="0"/>
              <w:keepLines w:val="0"/>
              <w:pageBreakBefore/>
              <w:widowControl w:val="0"/>
              <w:kinsoku/>
              <w:wordWrap/>
              <w:overflowPunct w:val="0"/>
              <w:topLinePunct w:val="0"/>
              <w:autoSpaceDE/>
              <w:autoSpaceDN/>
              <w:bidi w:val="0"/>
              <w:adjustRightInd/>
              <w:snapToGrid/>
              <w:spacing w:line="360" w:lineRule="auto"/>
              <w:ind w:firstLine="0" w:firstLineChars="0"/>
              <w:jc w:val="center"/>
              <w:textAlignment w:val="auto"/>
              <w:outlineLvl w:val="9"/>
              <w:rPr>
                <w:rFonts w:hint="default" w:ascii="Times New Roman Regular" w:hAnsi="Times New Roman Regular" w:eastAsia="宋体" w:cs="Times New Roman Regular"/>
                <w:b/>
                <w:color w:val="auto"/>
                <w:sz w:val="24"/>
                <w:szCs w:val="24"/>
                <w:highlight w:val="none"/>
              </w:rPr>
            </w:pPr>
            <w:r>
              <w:rPr>
                <w:rFonts w:hint="default" w:ascii="Times New Roman Regular" w:hAnsi="Times New Roman Regular" w:eastAsia="宋体" w:cs="Times New Roman Regular"/>
                <w:b/>
                <w:color w:val="auto"/>
                <w:sz w:val="24"/>
                <w:szCs w:val="24"/>
                <w:highlight w:val="none"/>
                <w:lang w:bidi="ar"/>
              </w:rPr>
              <w:t>一级评审项</w:t>
            </w:r>
          </w:p>
        </w:tc>
        <w:tc>
          <w:tcPr>
            <w:tcW w:w="975" w:type="dxa"/>
            <w:tcBorders>
              <w:tl2br w:val="nil"/>
              <w:tr2bl w:val="nil"/>
            </w:tcBorders>
            <w:noWrap w:val="0"/>
            <w:tcMar>
              <w:top w:w="75" w:type="dxa"/>
              <w:left w:w="120" w:type="dxa"/>
              <w:bottom w:w="75" w:type="dxa"/>
              <w:right w:w="120" w:type="dxa"/>
            </w:tcMar>
            <w:vAlign w:val="center"/>
          </w:tcPr>
          <w:p w14:paraId="253F1AA6">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outlineLvl w:val="9"/>
              <w:rPr>
                <w:rFonts w:hint="default" w:ascii="Times New Roman Regular" w:hAnsi="Times New Roman Regular" w:eastAsia="宋体" w:cs="Times New Roman Regular"/>
                <w:b/>
                <w:color w:val="auto"/>
                <w:sz w:val="24"/>
                <w:szCs w:val="24"/>
                <w:highlight w:val="none"/>
              </w:rPr>
            </w:pPr>
            <w:r>
              <w:rPr>
                <w:rFonts w:hint="default" w:ascii="Times New Roman Regular" w:hAnsi="Times New Roman Regular" w:eastAsia="宋体" w:cs="Times New Roman Regular"/>
                <w:b/>
                <w:color w:val="auto"/>
                <w:sz w:val="24"/>
                <w:szCs w:val="24"/>
                <w:highlight w:val="none"/>
                <w:lang w:bidi="ar"/>
              </w:rPr>
              <w:t>二级评审项</w:t>
            </w:r>
          </w:p>
        </w:tc>
        <w:tc>
          <w:tcPr>
            <w:tcW w:w="5618" w:type="dxa"/>
            <w:tcBorders>
              <w:tl2br w:val="nil"/>
              <w:tr2bl w:val="nil"/>
            </w:tcBorders>
            <w:noWrap w:val="0"/>
            <w:tcMar>
              <w:top w:w="75" w:type="dxa"/>
              <w:left w:w="120" w:type="dxa"/>
              <w:bottom w:w="75" w:type="dxa"/>
              <w:right w:w="120" w:type="dxa"/>
            </w:tcMar>
            <w:vAlign w:val="center"/>
          </w:tcPr>
          <w:p w14:paraId="25D280E6">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outlineLvl w:val="9"/>
              <w:rPr>
                <w:rFonts w:hint="default" w:ascii="Times New Roman Regular" w:hAnsi="Times New Roman Regular" w:eastAsia="宋体" w:cs="Times New Roman Regular"/>
                <w:b/>
                <w:color w:val="auto"/>
                <w:sz w:val="24"/>
                <w:szCs w:val="24"/>
                <w:highlight w:val="none"/>
              </w:rPr>
            </w:pPr>
            <w:r>
              <w:rPr>
                <w:rFonts w:hint="default" w:ascii="Times New Roman Regular" w:hAnsi="Times New Roman Regular" w:eastAsia="宋体" w:cs="Times New Roman Regular"/>
                <w:b/>
                <w:color w:val="auto"/>
                <w:sz w:val="24"/>
                <w:szCs w:val="24"/>
                <w:highlight w:val="none"/>
                <w:lang w:bidi="ar"/>
              </w:rPr>
              <w:t>详细要求</w:t>
            </w:r>
          </w:p>
        </w:tc>
        <w:tc>
          <w:tcPr>
            <w:tcW w:w="560" w:type="dxa"/>
            <w:tcBorders>
              <w:tl2br w:val="nil"/>
              <w:tr2bl w:val="nil"/>
            </w:tcBorders>
            <w:noWrap w:val="0"/>
            <w:tcMar>
              <w:top w:w="75" w:type="dxa"/>
              <w:left w:w="120" w:type="dxa"/>
              <w:bottom w:w="75" w:type="dxa"/>
              <w:right w:w="120" w:type="dxa"/>
            </w:tcMar>
            <w:vAlign w:val="center"/>
          </w:tcPr>
          <w:p w14:paraId="1DA3F050">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outlineLvl w:val="9"/>
              <w:rPr>
                <w:rFonts w:hint="default" w:ascii="Times New Roman Regular" w:hAnsi="Times New Roman Regular" w:eastAsia="宋体" w:cs="Times New Roman Regular"/>
                <w:b/>
                <w:color w:val="auto"/>
                <w:sz w:val="24"/>
                <w:szCs w:val="24"/>
                <w:highlight w:val="none"/>
              </w:rPr>
            </w:pPr>
            <w:r>
              <w:rPr>
                <w:rFonts w:hint="default" w:ascii="Times New Roman Regular" w:hAnsi="Times New Roman Regular" w:eastAsia="宋体" w:cs="Times New Roman Regular"/>
                <w:b/>
                <w:color w:val="auto"/>
                <w:sz w:val="24"/>
                <w:szCs w:val="24"/>
                <w:highlight w:val="none"/>
                <w:lang w:bidi="ar"/>
              </w:rPr>
              <w:t>分值</w:t>
            </w:r>
          </w:p>
        </w:tc>
        <w:tc>
          <w:tcPr>
            <w:tcW w:w="847" w:type="dxa"/>
            <w:tcBorders>
              <w:tl2br w:val="nil"/>
              <w:tr2bl w:val="nil"/>
            </w:tcBorders>
            <w:noWrap w:val="0"/>
            <w:tcMar>
              <w:top w:w="75" w:type="dxa"/>
              <w:left w:w="120" w:type="dxa"/>
              <w:bottom w:w="75" w:type="dxa"/>
              <w:right w:w="120" w:type="dxa"/>
            </w:tcMar>
            <w:vAlign w:val="center"/>
          </w:tcPr>
          <w:p w14:paraId="791DC485">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outlineLvl w:val="9"/>
              <w:rPr>
                <w:rFonts w:hint="default" w:ascii="Times New Roman Regular" w:hAnsi="Times New Roman Regular" w:eastAsia="宋体" w:cs="Times New Roman Regular"/>
                <w:b/>
                <w:color w:val="auto"/>
                <w:sz w:val="24"/>
                <w:szCs w:val="24"/>
                <w:highlight w:val="none"/>
              </w:rPr>
            </w:pPr>
            <w:r>
              <w:rPr>
                <w:rFonts w:hint="default" w:ascii="Times New Roman Regular" w:hAnsi="Times New Roman Regular" w:eastAsia="宋体" w:cs="Times New Roman Regular"/>
                <w:b/>
                <w:color w:val="auto"/>
                <w:sz w:val="24"/>
                <w:szCs w:val="24"/>
                <w:highlight w:val="none"/>
                <w:lang w:bidi="ar"/>
              </w:rPr>
              <w:t>客观评审项</w:t>
            </w:r>
          </w:p>
        </w:tc>
      </w:tr>
      <w:tr w14:paraId="0A05B789">
        <w:tblPrEx>
          <w:tblBorders>
            <w:top w:val="double" w:color="333333" w:sz="4" w:space="0"/>
            <w:left w:val="double" w:color="333333" w:sz="4" w:space="0"/>
            <w:bottom w:val="double" w:color="333333" w:sz="4" w:space="0"/>
            <w:right w:val="double" w:color="333333" w:sz="4" w:space="0"/>
            <w:insideH w:val="double" w:color="333333" w:sz="4" w:space="0"/>
            <w:insideV w:val="double" w:color="333333" w:sz="4" w:space="0"/>
          </w:tblBorders>
          <w:tblCellMar>
            <w:top w:w="0" w:type="dxa"/>
            <w:left w:w="0" w:type="dxa"/>
            <w:bottom w:w="0" w:type="dxa"/>
            <w:right w:w="0" w:type="dxa"/>
          </w:tblCellMar>
        </w:tblPrEx>
        <w:trPr>
          <w:trHeight w:val="482" w:hRule="atLeast"/>
          <w:jc w:val="center"/>
        </w:trPr>
        <w:tc>
          <w:tcPr>
            <w:tcW w:w="917" w:type="dxa"/>
            <w:vMerge w:val="restart"/>
            <w:tcBorders>
              <w:tl2br w:val="nil"/>
              <w:tr2bl w:val="nil"/>
            </w:tcBorders>
            <w:noWrap w:val="0"/>
            <w:tcMar>
              <w:top w:w="75" w:type="dxa"/>
              <w:left w:w="120" w:type="dxa"/>
              <w:bottom w:w="75" w:type="dxa"/>
              <w:right w:w="120" w:type="dxa"/>
            </w:tcMar>
            <w:vAlign w:val="center"/>
          </w:tcPr>
          <w:p w14:paraId="2F7D7E5C">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outlineLvl w:val="9"/>
              <w:rPr>
                <w:rFonts w:hint="default" w:ascii="Times New Roman Regular" w:hAnsi="Times New Roman Regular" w:eastAsia="宋体" w:cs="Times New Roman Regular"/>
                <w:bCs/>
                <w:color w:val="auto"/>
                <w:sz w:val="24"/>
                <w:szCs w:val="24"/>
                <w:highlight w:val="none"/>
                <w:lang w:bidi="ar"/>
              </w:rPr>
            </w:pPr>
            <w:r>
              <w:rPr>
                <w:rFonts w:hint="default" w:ascii="Times New Roman Regular" w:hAnsi="Times New Roman Regular" w:eastAsia="宋体" w:cs="Times New Roman Regular"/>
                <w:bCs/>
                <w:color w:val="auto"/>
                <w:sz w:val="24"/>
                <w:szCs w:val="24"/>
                <w:highlight w:val="none"/>
                <w:lang w:bidi="ar"/>
              </w:rPr>
              <w:t>1</w:t>
            </w:r>
          </w:p>
        </w:tc>
        <w:tc>
          <w:tcPr>
            <w:tcW w:w="935" w:type="dxa"/>
            <w:vMerge w:val="restart"/>
            <w:tcBorders>
              <w:tl2br w:val="nil"/>
              <w:tr2bl w:val="nil"/>
            </w:tcBorders>
            <w:noWrap w:val="0"/>
            <w:tcMar>
              <w:top w:w="75" w:type="dxa"/>
              <w:left w:w="120" w:type="dxa"/>
              <w:bottom w:w="75" w:type="dxa"/>
              <w:right w:w="120" w:type="dxa"/>
            </w:tcMar>
            <w:vAlign w:val="center"/>
          </w:tcPr>
          <w:p w14:paraId="31D0FEE9">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outlineLvl w:val="9"/>
              <w:rPr>
                <w:rFonts w:hint="default" w:ascii="Times New Roman Regular" w:hAnsi="Times New Roman Regular" w:eastAsia="宋体" w:cs="Times New Roman Regular"/>
                <w:bCs/>
                <w:color w:val="auto"/>
                <w:sz w:val="24"/>
                <w:szCs w:val="24"/>
                <w:highlight w:val="none"/>
                <w:lang w:bidi="ar"/>
              </w:rPr>
            </w:pPr>
            <w:r>
              <w:rPr>
                <w:rFonts w:hint="default" w:ascii="Times New Roman Regular" w:hAnsi="Times New Roman Regular" w:eastAsia="宋体" w:cs="Times New Roman Regular"/>
                <w:bCs/>
                <w:color w:val="auto"/>
                <w:sz w:val="24"/>
                <w:szCs w:val="24"/>
                <w:highlight w:val="none"/>
                <w:lang w:bidi="ar"/>
              </w:rPr>
              <w:t>详细评审</w:t>
            </w:r>
          </w:p>
        </w:tc>
        <w:tc>
          <w:tcPr>
            <w:tcW w:w="975" w:type="dxa"/>
            <w:tcBorders>
              <w:tl2br w:val="nil"/>
              <w:tr2bl w:val="nil"/>
            </w:tcBorders>
            <w:noWrap w:val="0"/>
            <w:tcMar>
              <w:top w:w="75" w:type="dxa"/>
              <w:left w:w="120" w:type="dxa"/>
              <w:bottom w:w="75" w:type="dxa"/>
              <w:right w:w="120" w:type="dxa"/>
            </w:tcMar>
            <w:vAlign w:val="center"/>
          </w:tcPr>
          <w:p w14:paraId="06570719">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outlineLvl w:val="9"/>
              <w:rPr>
                <w:rFonts w:hint="default" w:ascii="Times New Roman Regular" w:hAnsi="Times New Roman Regular" w:eastAsia="宋体" w:cs="Times New Roman Regular"/>
                <w:bCs/>
                <w:color w:val="auto"/>
                <w:sz w:val="24"/>
                <w:szCs w:val="24"/>
                <w:highlight w:val="none"/>
                <w:lang w:bidi="ar"/>
              </w:rPr>
            </w:pPr>
            <w:r>
              <w:rPr>
                <w:rFonts w:hint="default" w:ascii="Times New Roman Regular" w:hAnsi="Times New Roman Regular" w:eastAsia="宋体" w:cs="Times New Roman Regular"/>
                <w:bCs/>
                <w:color w:val="auto"/>
                <w:sz w:val="24"/>
                <w:szCs w:val="24"/>
                <w:highlight w:val="none"/>
                <w:lang w:bidi="ar"/>
              </w:rPr>
              <w:t>技术指标及配置</w:t>
            </w:r>
          </w:p>
        </w:tc>
        <w:tc>
          <w:tcPr>
            <w:tcW w:w="5618" w:type="dxa"/>
            <w:tcBorders>
              <w:tl2br w:val="nil"/>
              <w:tr2bl w:val="nil"/>
            </w:tcBorders>
            <w:noWrap w:val="0"/>
            <w:tcMar>
              <w:top w:w="75" w:type="dxa"/>
              <w:left w:w="120" w:type="dxa"/>
              <w:bottom w:w="75" w:type="dxa"/>
              <w:right w:w="120" w:type="dxa"/>
            </w:tcMar>
            <w:vAlign w:val="center"/>
          </w:tcPr>
          <w:p w14:paraId="06183D23">
            <w:pPr>
              <w:spacing w:line="360" w:lineRule="auto"/>
              <w:rPr>
                <w:rFonts w:hint="eastAsia" w:ascii="Times New Roman Regular" w:hAnsi="Times New Roman Regular" w:eastAsia="宋体" w:cs="Times New Roman Regular"/>
                <w:bCs/>
                <w:color w:val="auto"/>
                <w:sz w:val="24"/>
                <w:szCs w:val="24"/>
                <w:highlight w:val="none"/>
                <w:lang w:eastAsia="zh-CN" w:bidi="ar"/>
              </w:rPr>
            </w:pPr>
            <w:r>
              <w:rPr>
                <w:rFonts w:hint="eastAsia" w:ascii="Times New Roman Regular" w:hAnsi="Times New Roman Regular" w:eastAsia="宋体" w:cs="Times New Roman Regular"/>
                <w:bCs/>
                <w:color w:val="auto"/>
                <w:sz w:val="24"/>
                <w:szCs w:val="24"/>
                <w:highlight w:val="none"/>
                <w:lang w:eastAsia="zh-CN" w:bidi="ar"/>
              </w:rPr>
              <w:t>供应商根据项目实际情况对本项目第六章第二部分项目技术、服务要求进行逐条响应，供应商按招标文件要求提供证明材料，全部满足没有负偏离的得</w:t>
            </w:r>
            <w:r>
              <w:rPr>
                <w:rFonts w:hint="eastAsia" w:ascii="Times New Roman Regular" w:hAnsi="Times New Roman Regular" w:eastAsia="宋体" w:cs="Times New Roman Regular"/>
                <w:bCs/>
                <w:color w:val="auto"/>
                <w:sz w:val="24"/>
                <w:szCs w:val="24"/>
                <w:highlight w:val="none"/>
                <w:lang w:val="en-US" w:eastAsia="zh-CN" w:bidi="ar"/>
              </w:rPr>
              <w:t>11</w:t>
            </w:r>
            <w:r>
              <w:rPr>
                <w:rFonts w:hint="eastAsia" w:ascii="Times New Roman Regular" w:hAnsi="Times New Roman Regular" w:eastAsia="宋体" w:cs="Times New Roman Regular"/>
                <w:bCs/>
                <w:color w:val="auto"/>
                <w:sz w:val="24"/>
                <w:szCs w:val="24"/>
                <w:highlight w:val="none"/>
                <w:lang w:eastAsia="zh-CN" w:bidi="ar"/>
              </w:rPr>
              <w:t>分，每有一项非实质性要求参数（共</w:t>
            </w:r>
            <w:r>
              <w:rPr>
                <w:rFonts w:hint="eastAsia" w:ascii="Times New Roman Regular" w:hAnsi="Times New Roman Regular" w:eastAsia="宋体" w:cs="Times New Roman Regular"/>
                <w:bCs/>
                <w:color w:val="auto"/>
                <w:sz w:val="24"/>
                <w:szCs w:val="24"/>
                <w:highlight w:val="none"/>
                <w:lang w:val="en-US" w:eastAsia="zh-CN" w:bidi="ar"/>
              </w:rPr>
              <w:t>11</w:t>
            </w:r>
            <w:r>
              <w:rPr>
                <w:rFonts w:hint="eastAsia" w:ascii="Times New Roman Regular" w:hAnsi="Times New Roman Regular" w:eastAsia="宋体" w:cs="Times New Roman Regular"/>
                <w:bCs/>
                <w:color w:val="auto"/>
                <w:sz w:val="24"/>
                <w:szCs w:val="24"/>
                <w:highlight w:val="none"/>
                <w:lang w:eastAsia="zh-CN" w:bidi="ar"/>
              </w:rPr>
              <w:t>项）负偏离扣1分，扣完为止。</w:t>
            </w:r>
          </w:p>
          <w:p w14:paraId="3C944827">
            <w:pPr>
              <w:spacing w:line="360" w:lineRule="auto"/>
              <w:rPr>
                <w:rFonts w:hint="default"/>
                <w:color w:val="auto"/>
                <w:sz w:val="24"/>
                <w:szCs w:val="24"/>
              </w:rPr>
            </w:pPr>
            <w:r>
              <w:rPr>
                <w:rFonts w:hint="eastAsia" w:ascii="Times New Roman Regular" w:hAnsi="Times New Roman Regular" w:eastAsia="宋体" w:cs="Times New Roman Regular"/>
                <w:bCs/>
                <w:color w:val="auto"/>
                <w:sz w:val="24"/>
                <w:szCs w:val="24"/>
                <w:highlight w:val="none"/>
                <w:lang w:eastAsia="zh-CN" w:bidi="ar"/>
              </w:rPr>
              <w:t>注：技术参数中要求提供证明材料的，需按要求提供相关证明材料并加盖投标人鲜章，未提供证明材料该类不得分。</w:t>
            </w:r>
          </w:p>
        </w:tc>
        <w:tc>
          <w:tcPr>
            <w:tcW w:w="560" w:type="dxa"/>
            <w:tcBorders>
              <w:tl2br w:val="nil"/>
              <w:tr2bl w:val="nil"/>
            </w:tcBorders>
            <w:noWrap w:val="0"/>
            <w:tcMar>
              <w:top w:w="75" w:type="dxa"/>
              <w:left w:w="120" w:type="dxa"/>
              <w:bottom w:w="75" w:type="dxa"/>
              <w:right w:w="120" w:type="dxa"/>
            </w:tcMar>
            <w:vAlign w:val="center"/>
          </w:tcPr>
          <w:p w14:paraId="4FE88CC1">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outlineLvl w:val="9"/>
              <w:rPr>
                <w:rFonts w:hint="default" w:ascii="Times New Roman Regular" w:hAnsi="Times New Roman Regular" w:eastAsia="宋体" w:cs="Times New Roman Regular"/>
                <w:bCs/>
                <w:color w:val="auto"/>
                <w:sz w:val="24"/>
                <w:szCs w:val="24"/>
                <w:highlight w:val="none"/>
                <w:lang w:val="en-US" w:eastAsia="zh-CN" w:bidi="ar"/>
              </w:rPr>
            </w:pPr>
            <w:r>
              <w:rPr>
                <w:rFonts w:hint="eastAsia" w:ascii="Times New Roman Regular" w:hAnsi="Times New Roman Regular" w:cs="Times New Roman Regular"/>
                <w:bCs/>
                <w:color w:val="auto"/>
                <w:sz w:val="24"/>
                <w:szCs w:val="24"/>
                <w:highlight w:val="none"/>
                <w:lang w:val="en-US" w:eastAsia="zh-CN" w:bidi="ar"/>
              </w:rPr>
              <w:t>11</w:t>
            </w:r>
          </w:p>
        </w:tc>
        <w:tc>
          <w:tcPr>
            <w:tcW w:w="847" w:type="dxa"/>
            <w:tcBorders>
              <w:tl2br w:val="nil"/>
              <w:tr2bl w:val="nil"/>
            </w:tcBorders>
            <w:noWrap w:val="0"/>
            <w:tcMar>
              <w:top w:w="75" w:type="dxa"/>
              <w:left w:w="120" w:type="dxa"/>
              <w:bottom w:w="75" w:type="dxa"/>
              <w:right w:w="120" w:type="dxa"/>
            </w:tcMar>
            <w:vAlign w:val="center"/>
          </w:tcPr>
          <w:p w14:paraId="707406D4">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outlineLvl w:val="9"/>
              <w:rPr>
                <w:rFonts w:hint="default" w:ascii="Times New Roman Regular" w:hAnsi="Times New Roman Regular" w:eastAsia="宋体" w:cs="Times New Roman Regular"/>
                <w:bCs/>
                <w:color w:val="auto"/>
                <w:sz w:val="24"/>
                <w:szCs w:val="24"/>
                <w:highlight w:val="none"/>
                <w:lang w:bidi="ar"/>
              </w:rPr>
            </w:pPr>
            <w:r>
              <w:rPr>
                <w:rFonts w:hint="default" w:ascii="Times New Roman Regular" w:hAnsi="Times New Roman Regular" w:eastAsia="宋体" w:cs="Times New Roman Regular"/>
                <w:bCs/>
                <w:color w:val="auto"/>
                <w:sz w:val="24"/>
                <w:szCs w:val="24"/>
                <w:highlight w:val="none"/>
                <w:lang w:bidi="ar"/>
              </w:rPr>
              <w:t>是</w:t>
            </w:r>
          </w:p>
        </w:tc>
      </w:tr>
      <w:tr w14:paraId="692457B4">
        <w:tblPrEx>
          <w:tblBorders>
            <w:top w:val="double" w:color="333333" w:sz="4" w:space="0"/>
            <w:left w:val="double" w:color="333333" w:sz="4" w:space="0"/>
            <w:bottom w:val="double" w:color="333333" w:sz="4" w:space="0"/>
            <w:right w:val="double" w:color="333333" w:sz="4" w:space="0"/>
            <w:insideH w:val="double" w:color="333333" w:sz="4" w:space="0"/>
            <w:insideV w:val="double" w:color="333333" w:sz="4" w:space="0"/>
          </w:tblBorders>
          <w:tblCellMar>
            <w:top w:w="0" w:type="dxa"/>
            <w:left w:w="0" w:type="dxa"/>
            <w:bottom w:w="0" w:type="dxa"/>
            <w:right w:w="0" w:type="dxa"/>
          </w:tblCellMar>
        </w:tblPrEx>
        <w:trPr>
          <w:trHeight w:val="482" w:hRule="atLeast"/>
          <w:jc w:val="center"/>
        </w:trPr>
        <w:tc>
          <w:tcPr>
            <w:tcW w:w="917" w:type="dxa"/>
            <w:vMerge w:val="continue"/>
            <w:tcBorders>
              <w:tl2br w:val="nil"/>
              <w:tr2bl w:val="nil"/>
            </w:tcBorders>
            <w:noWrap w:val="0"/>
            <w:tcMar>
              <w:top w:w="75" w:type="dxa"/>
              <w:left w:w="120" w:type="dxa"/>
              <w:bottom w:w="75" w:type="dxa"/>
              <w:right w:w="120" w:type="dxa"/>
            </w:tcMar>
            <w:vAlign w:val="center"/>
          </w:tcPr>
          <w:p w14:paraId="22A12A45">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outlineLvl w:val="9"/>
              <w:rPr>
                <w:rFonts w:hint="default" w:ascii="Times New Roman Regular" w:hAnsi="Times New Roman Regular" w:eastAsia="宋体" w:cs="Times New Roman Regular"/>
                <w:bCs/>
                <w:color w:val="auto"/>
                <w:sz w:val="24"/>
                <w:szCs w:val="24"/>
                <w:highlight w:val="none"/>
                <w:lang w:bidi="ar"/>
              </w:rPr>
            </w:pPr>
          </w:p>
        </w:tc>
        <w:tc>
          <w:tcPr>
            <w:tcW w:w="935" w:type="dxa"/>
            <w:vMerge w:val="continue"/>
            <w:tcBorders>
              <w:tl2br w:val="nil"/>
              <w:tr2bl w:val="nil"/>
            </w:tcBorders>
            <w:noWrap w:val="0"/>
            <w:tcMar>
              <w:top w:w="75" w:type="dxa"/>
              <w:left w:w="120" w:type="dxa"/>
              <w:bottom w:w="75" w:type="dxa"/>
              <w:right w:w="120" w:type="dxa"/>
            </w:tcMar>
            <w:vAlign w:val="center"/>
          </w:tcPr>
          <w:p w14:paraId="37CAE68E">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outlineLvl w:val="9"/>
              <w:rPr>
                <w:rFonts w:hint="default" w:ascii="Times New Roman Regular" w:hAnsi="Times New Roman Regular" w:eastAsia="宋体" w:cs="Times New Roman Regular"/>
                <w:bCs/>
                <w:color w:val="auto"/>
                <w:sz w:val="24"/>
                <w:szCs w:val="24"/>
                <w:highlight w:val="none"/>
                <w:lang w:bidi="ar"/>
              </w:rPr>
            </w:pPr>
          </w:p>
        </w:tc>
        <w:tc>
          <w:tcPr>
            <w:tcW w:w="975" w:type="dxa"/>
            <w:tcBorders>
              <w:tl2br w:val="nil"/>
              <w:tr2bl w:val="nil"/>
            </w:tcBorders>
            <w:noWrap w:val="0"/>
            <w:tcMar>
              <w:top w:w="75" w:type="dxa"/>
              <w:left w:w="120" w:type="dxa"/>
              <w:bottom w:w="75" w:type="dxa"/>
              <w:right w:w="120" w:type="dxa"/>
            </w:tcMar>
            <w:vAlign w:val="center"/>
          </w:tcPr>
          <w:p w14:paraId="121F5097">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outlineLvl w:val="9"/>
              <w:rPr>
                <w:rFonts w:hint="default" w:ascii="Times New Roman Regular" w:hAnsi="Times New Roman Regular" w:eastAsia="宋体" w:cs="Times New Roman Regular"/>
                <w:bCs/>
                <w:color w:val="auto"/>
                <w:sz w:val="24"/>
                <w:szCs w:val="24"/>
                <w:highlight w:val="none"/>
                <w:lang w:bidi="ar"/>
              </w:rPr>
            </w:pPr>
            <w:r>
              <w:rPr>
                <w:rFonts w:hint="default" w:ascii="Times New Roman Regular" w:hAnsi="Times New Roman Regular" w:eastAsia="宋体" w:cs="Times New Roman Regular"/>
                <w:bCs/>
                <w:color w:val="auto"/>
                <w:sz w:val="24"/>
                <w:szCs w:val="24"/>
                <w:highlight w:val="none"/>
                <w:lang w:bidi="ar"/>
              </w:rPr>
              <w:t>服务方案</w:t>
            </w:r>
          </w:p>
        </w:tc>
        <w:tc>
          <w:tcPr>
            <w:tcW w:w="5618" w:type="dxa"/>
            <w:tcBorders>
              <w:tl2br w:val="nil"/>
              <w:tr2bl w:val="nil"/>
            </w:tcBorders>
            <w:noWrap w:val="0"/>
            <w:tcMar>
              <w:top w:w="75" w:type="dxa"/>
              <w:left w:w="120" w:type="dxa"/>
              <w:bottom w:w="75" w:type="dxa"/>
              <w:right w:w="120" w:type="dxa"/>
            </w:tcMar>
            <w:vAlign w:val="center"/>
          </w:tcPr>
          <w:p w14:paraId="51E93D62">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both"/>
              <w:textAlignment w:val="auto"/>
              <w:outlineLvl w:val="9"/>
              <w:rPr>
                <w:rFonts w:hint="default" w:ascii="Times New Roman Regular" w:hAnsi="Times New Roman Regular" w:eastAsia="宋体" w:cs="Times New Roman Regular"/>
                <w:bCs/>
                <w:color w:val="auto"/>
                <w:sz w:val="24"/>
                <w:szCs w:val="24"/>
                <w:highlight w:val="none"/>
                <w:lang w:bidi="ar"/>
              </w:rPr>
            </w:pPr>
            <w:r>
              <w:rPr>
                <w:rFonts w:hint="default" w:ascii="Times New Roman Regular" w:hAnsi="Times New Roman Regular" w:eastAsia="宋体" w:cs="Times New Roman Regular"/>
                <w:bCs/>
                <w:color w:val="auto"/>
                <w:sz w:val="24"/>
                <w:szCs w:val="24"/>
                <w:highlight w:val="none"/>
                <w:lang w:bidi="ar"/>
              </w:rPr>
              <w:t>根据投标人所提供的针对本项目的实施方案进行评审，方案应包括但不限于①产品质量保障措施、②产品运输方案、③安装与调试方案、④进度保证措施、⑤现场管理组织方案、⑥安全保障措施、⑦应急预案等，方案内容完善的得42分，方案中每缺少一项内容扣6分，每有一项内容不完整的扣3分，扣完为止。未提供方案不得分。（内容不完整是指：内容所阐述的项目信息与本项目实际信息不一致、内容缺少关键节点、内容引用的规定及规范错误、内容描述不符合国家相关法律法规及规范要求、技术环节不规范或漏缺项、套用其他项目方案、地点区域错误、方案内容与项目需求有漏项、仅有框架或标题没有实际内容，或方案内容与项目需求无关、照搬采购文件要求且未作出进一步细化、不可能实现的情形等任意一种情形。）。</w:t>
            </w:r>
          </w:p>
        </w:tc>
        <w:tc>
          <w:tcPr>
            <w:tcW w:w="560" w:type="dxa"/>
            <w:tcBorders>
              <w:tl2br w:val="nil"/>
              <w:tr2bl w:val="nil"/>
            </w:tcBorders>
            <w:noWrap w:val="0"/>
            <w:tcMar>
              <w:top w:w="75" w:type="dxa"/>
              <w:left w:w="120" w:type="dxa"/>
              <w:bottom w:w="75" w:type="dxa"/>
              <w:right w:w="120" w:type="dxa"/>
            </w:tcMar>
            <w:vAlign w:val="center"/>
          </w:tcPr>
          <w:p w14:paraId="70E7366F">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outlineLvl w:val="9"/>
              <w:rPr>
                <w:rFonts w:hint="default" w:ascii="Times New Roman Regular" w:hAnsi="Times New Roman Regular" w:eastAsia="宋体" w:cs="Times New Roman Regular"/>
                <w:bCs/>
                <w:color w:val="auto"/>
                <w:sz w:val="24"/>
                <w:szCs w:val="24"/>
                <w:highlight w:val="none"/>
                <w:lang w:val="en-US" w:eastAsia="zh-CN" w:bidi="ar"/>
              </w:rPr>
            </w:pPr>
            <w:r>
              <w:rPr>
                <w:rFonts w:hint="eastAsia" w:ascii="Times New Roman Regular" w:hAnsi="Times New Roman Regular" w:cs="Times New Roman Regular"/>
                <w:bCs/>
                <w:color w:val="auto"/>
                <w:sz w:val="24"/>
                <w:szCs w:val="24"/>
                <w:highlight w:val="none"/>
                <w:lang w:val="en-US" w:eastAsia="zh-CN" w:bidi="ar"/>
              </w:rPr>
              <w:t>42</w:t>
            </w:r>
          </w:p>
        </w:tc>
        <w:tc>
          <w:tcPr>
            <w:tcW w:w="847" w:type="dxa"/>
            <w:tcBorders>
              <w:tl2br w:val="nil"/>
              <w:tr2bl w:val="nil"/>
            </w:tcBorders>
            <w:noWrap w:val="0"/>
            <w:tcMar>
              <w:top w:w="75" w:type="dxa"/>
              <w:left w:w="120" w:type="dxa"/>
              <w:bottom w:w="75" w:type="dxa"/>
              <w:right w:w="120" w:type="dxa"/>
            </w:tcMar>
            <w:vAlign w:val="center"/>
          </w:tcPr>
          <w:p w14:paraId="7E6F3C51">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outlineLvl w:val="9"/>
              <w:rPr>
                <w:rFonts w:hint="default" w:ascii="Times New Roman Regular" w:hAnsi="Times New Roman Regular" w:eastAsia="宋体" w:cs="Times New Roman Regular"/>
                <w:bCs/>
                <w:color w:val="auto"/>
                <w:sz w:val="24"/>
                <w:szCs w:val="24"/>
                <w:highlight w:val="none"/>
                <w:lang w:eastAsia="zh-CN" w:bidi="ar"/>
              </w:rPr>
            </w:pPr>
            <w:r>
              <w:rPr>
                <w:rFonts w:hint="default" w:ascii="Times New Roman Regular" w:hAnsi="Times New Roman Regular" w:eastAsia="宋体" w:cs="Times New Roman Regular"/>
                <w:bCs/>
                <w:color w:val="auto"/>
                <w:sz w:val="24"/>
                <w:szCs w:val="24"/>
                <w:highlight w:val="none"/>
                <w:lang w:val="en-US" w:eastAsia="zh-CN" w:bidi="ar"/>
              </w:rPr>
              <w:t>否</w:t>
            </w:r>
          </w:p>
        </w:tc>
      </w:tr>
      <w:tr w14:paraId="4805B03B">
        <w:tblPrEx>
          <w:tblBorders>
            <w:top w:val="double" w:color="333333" w:sz="4" w:space="0"/>
            <w:left w:val="double" w:color="333333" w:sz="4" w:space="0"/>
            <w:bottom w:val="double" w:color="333333" w:sz="4" w:space="0"/>
            <w:right w:val="double" w:color="333333" w:sz="4" w:space="0"/>
            <w:insideH w:val="double" w:color="333333" w:sz="4" w:space="0"/>
            <w:insideV w:val="double" w:color="333333" w:sz="4" w:space="0"/>
          </w:tblBorders>
          <w:tblCellMar>
            <w:top w:w="0" w:type="dxa"/>
            <w:left w:w="0" w:type="dxa"/>
            <w:bottom w:w="0" w:type="dxa"/>
            <w:right w:w="0" w:type="dxa"/>
          </w:tblCellMar>
        </w:tblPrEx>
        <w:trPr>
          <w:trHeight w:val="482" w:hRule="atLeast"/>
          <w:jc w:val="center"/>
        </w:trPr>
        <w:tc>
          <w:tcPr>
            <w:tcW w:w="917" w:type="dxa"/>
            <w:vMerge w:val="continue"/>
            <w:tcBorders>
              <w:tl2br w:val="nil"/>
              <w:tr2bl w:val="nil"/>
            </w:tcBorders>
            <w:noWrap w:val="0"/>
            <w:tcMar>
              <w:top w:w="75" w:type="dxa"/>
              <w:left w:w="120" w:type="dxa"/>
              <w:bottom w:w="75" w:type="dxa"/>
              <w:right w:w="120" w:type="dxa"/>
            </w:tcMar>
            <w:vAlign w:val="center"/>
          </w:tcPr>
          <w:p w14:paraId="7412874F">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outlineLvl w:val="9"/>
              <w:rPr>
                <w:rFonts w:hint="default" w:ascii="Times New Roman Regular" w:hAnsi="Times New Roman Regular" w:eastAsia="宋体" w:cs="Times New Roman Regular"/>
                <w:bCs/>
                <w:color w:val="auto"/>
                <w:sz w:val="24"/>
                <w:szCs w:val="24"/>
                <w:highlight w:val="none"/>
                <w:lang w:bidi="ar"/>
              </w:rPr>
            </w:pPr>
          </w:p>
        </w:tc>
        <w:tc>
          <w:tcPr>
            <w:tcW w:w="935" w:type="dxa"/>
            <w:vMerge w:val="continue"/>
            <w:tcBorders>
              <w:tl2br w:val="nil"/>
              <w:tr2bl w:val="nil"/>
            </w:tcBorders>
            <w:noWrap w:val="0"/>
            <w:tcMar>
              <w:top w:w="75" w:type="dxa"/>
              <w:left w:w="120" w:type="dxa"/>
              <w:bottom w:w="75" w:type="dxa"/>
              <w:right w:w="120" w:type="dxa"/>
            </w:tcMar>
            <w:vAlign w:val="center"/>
          </w:tcPr>
          <w:p w14:paraId="06486210">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outlineLvl w:val="9"/>
              <w:rPr>
                <w:rFonts w:hint="default" w:ascii="Times New Roman Regular" w:hAnsi="Times New Roman Regular" w:eastAsia="宋体" w:cs="Times New Roman Regular"/>
                <w:bCs/>
                <w:color w:val="auto"/>
                <w:sz w:val="24"/>
                <w:szCs w:val="24"/>
                <w:highlight w:val="none"/>
                <w:lang w:bidi="ar"/>
              </w:rPr>
            </w:pPr>
          </w:p>
        </w:tc>
        <w:tc>
          <w:tcPr>
            <w:tcW w:w="975" w:type="dxa"/>
            <w:tcBorders>
              <w:tl2br w:val="nil"/>
              <w:tr2bl w:val="nil"/>
            </w:tcBorders>
            <w:noWrap w:val="0"/>
            <w:tcMar>
              <w:top w:w="75" w:type="dxa"/>
              <w:left w:w="120" w:type="dxa"/>
              <w:bottom w:w="75" w:type="dxa"/>
              <w:right w:w="120" w:type="dxa"/>
            </w:tcMar>
            <w:vAlign w:val="center"/>
          </w:tcPr>
          <w:p w14:paraId="24B3B5C4">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outlineLvl w:val="9"/>
              <w:rPr>
                <w:rFonts w:hint="default" w:ascii="Times New Roman Regular" w:hAnsi="Times New Roman Regular" w:eastAsia="宋体" w:cs="Times New Roman Regular"/>
                <w:bCs/>
                <w:color w:val="auto"/>
                <w:sz w:val="24"/>
                <w:szCs w:val="24"/>
                <w:highlight w:val="none"/>
                <w:lang w:bidi="ar"/>
              </w:rPr>
            </w:pPr>
            <w:r>
              <w:rPr>
                <w:rFonts w:hint="default" w:ascii="Times New Roman Regular" w:hAnsi="Times New Roman Regular" w:eastAsia="宋体" w:cs="Times New Roman Regular"/>
                <w:bCs/>
                <w:color w:val="auto"/>
                <w:sz w:val="24"/>
                <w:szCs w:val="24"/>
                <w:highlight w:val="none"/>
                <w:lang w:bidi="ar"/>
              </w:rPr>
              <w:t>业绩</w:t>
            </w:r>
          </w:p>
        </w:tc>
        <w:tc>
          <w:tcPr>
            <w:tcW w:w="5618" w:type="dxa"/>
            <w:tcBorders>
              <w:tl2br w:val="nil"/>
              <w:tr2bl w:val="nil"/>
            </w:tcBorders>
            <w:noWrap w:val="0"/>
            <w:tcMar>
              <w:top w:w="75" w:type="dxa"/>
              <w:left w:w="120" w:type="dxa"/>
              <w:bottom w:w="75" w:type="dxa"/>
              <w:right w:w="120" w:type="dxa"/>
            </w:tcMar>
            <w:vAlign w:val="center"/>
          </w:tcPr>
          <w:p w14:paraId="30B24661">
            <w:pPr>
              <w:keepNext w:val="0"/>
              <w:keepLines w:val="0"/>
              <w:pageBreakBefore w:val="0"/>
              <w:widowControl w:val="0"/>
              <w:suppressLineNumbers w:val="0"/>
              <w:kinsoku/>
              <w:wordWrap/>
              <w:overflowPunct w:val="0"/>
              <w:topLinePunct w:val="0"/>
              <w:autoSpaceDE/>
              <w:autoSpaceDN/>
              <w:bidi w:val="0"/>
              <w:adjustRightInd/>
              <w:snapToGrid/>
              <w:spacing w:line="360" w:lineRule="auto"/>
              <w:ind w:firstLine="0" w:firstLineChars="0"/>
              <w:jc w:val="both"/>
              <w:textAlignment w:val="auto"/>
              <w:outlineLvl w:val="9"/>
              <w:rPr>
                <w:rFonts w:hint="default" w:ascii="Times New Roman Regular" w:hAnsi="Times New Roman Regular" w:eastAsia="宋体" w:cs="Times New Roman Regular"/>
                <w:bCs/>
                <w:color w:val="auto"/>
                <w:sz w:val="24"/>
                <w:szCs w:val="24"/>
                <w:highlight w:val="none"/>
                <w:lang w:eastAsia="zh-CN" w:bidi="ar"/>
              </w:rPr>
            </w:pPr>
            <w:r>
              <w:rPr>
                <w:rFonts w:hint="default" w:ascii="Times New Roman Regular" w:hAnsi="Times New Roman Regular" w:eastAsia="宋体" w:cs="Times New Roman Regular"/>
                <w:bCs/>
                <w:color w:val="auto"/>
                <w:sz w:val="24"/>
                <w:szCs w:val="24"/>
                <w:highlight w:val="none"/>
                <w:lang w:eastAsia="zh-CN" w:bidi="ar"/>
              </w:rPr>
              <w:t>投标人每提供一份2022年1月1日以来（以签订合同时间为准）同类产品供货业绩的得4分，满分8分；</w:t>
            </w:r>
          </w:p>
          <w:p w14:paraId="65FE9C74">
            <w:pPr>
              <w:keepNext w:val="0"/>
              <w:keepLines w:val="0"/>
              <w:pageBreakBefore w:val="0"/>
              <w:widowControl w:val="0"/>
              <w:suppressLineNumbers w:val="0"/>
              <w:kinsoku/>
              <w:wordWrap/>
              <w:overflowPunct w:val="0"/>
              <w:topLinePunct w:val="0"/>
              <w:autoSpaceDE/>
              <w:autoSpaceDN/>
              <w:bidi w:val="0"/>
              <w:adjustRightInd/>
              <w:snapToGrid/>
              <w:spacing w:line="360" w:lineRule="auto"/>
              <w:ind w:firstLine="0" w:firstLineChars="0"/>
              <w:jc w:val="both"/>
              <w:textAlignment w:val="auto"/>
              <w:outlineLvl w:val="9"/>
              <w:rPr>
                <w:rFonts w:hint="default" w:ascii="Times New Roman Regular" w:hAnsi="Times New Roman Regular" w:eastAsia="宋体" w:cs="Times New Roman Regular"/>
                <w:bCs/>
                <w:color w:val="auto"/>
                <w:sz w:val="24"/>
                <w:szCs w:val="24"/>
                <w:highlight w:val="none"/>
                <w:lang w:eastAsia="zh-CN" w:bidi="ar"/>
              </w:rPr>
            </w:pPr>
            <w:r>
              <w:rPr>
                <w:rFonts w:hint="default" w:ascii="Times New Roman Regular" w:hAnsi="Times New Roman Regular" w:eastAsia="宋体" w:cs="Times New Roman Regular"/>
                <w:bCs/>
                <w:color w:val="auto"/>
                <w:sz w:val="24"/>
                <w:szCs w:val="24"/>
                <w:highlight w:val="none"/>
                <w:lang w:eastAsia="zh-CN" w:bidi="ar"/>
              </w:rPr>
              <w:t>（注：投标文件中需附加盖投标人公章的合同复印件，否则不得分。）</w:t>
            </w:r>
          </w:p>
        </w:tc>
        <w:tc>
          <w:tcPr>
            <w:tcW w:w="560" w:type="dxa"/>
            <w:tcBorders>
              <w:tl2br w:val="nil"/>
              <w:tr2bl w:val="nil"/>
            </w:tcBorders>
            <w:noWrap w:val="0"/>
            <w:tcMar>
              <w:top w:w="75" w:type="dxa"/>
              <w:left w:w="120" w:type="dxa"/>
              <w:bottom w:w="75" w:type="dxa"/>
              <w:right w:w="120" w:type="dxa"/>
            </w:tcMar>
            <w:vAlign w:val="center"/>
          </w:tcPr>
          <w:p w14:paraId="2601332E">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outlineLvl w:val="9"/>
              <w:rPr>
                <w:rFonts w:hint="default" w:ascii="Times New Roman Regular" w:hAnsi="Times New Roman Regular" w:eastAsia="宋体" w:cs="Times New Roman Regular"/>
                <w:bCs/>
                <w:color w:val="auto"/>
                <w:sz w:val="24"/>
                <w:szCs w:val="24"/>
                <w:highlight w:val="none"/>
                <w:lang w:val="en-US" w:eastAsia="zh-CN" w:bidi="ar"/>
              </w:rPr>
            </w:pPr>
            <w:r>
              <w:rPr>
                <w:rFonts w:hint="eastAsia" w:ascii="Times New Roman Regular" w:hAnsi="Times New Roman Regular" w:cs="Times New Roman Regular"/>
                <w:bCs/>
                <w:color w:val="auto"/>
                <w:sz w:val="24"/>
                <w:szCs w:val="24"/>
                <w:highlight w:val="none"/>
                <w:lang w:val="en-US" w:eastAsia="zh-CN"/>
              </w:rPr>
              <w:t>8</w:t>
            </w:r>
          </w:p>
        </w:tc>
        <w:tc>
          <w:tcPr>
            <w:tcW w:w="847" w:type="dxa"/>
            <w:tcBorders>
              <w:tl2br w:val="nil"/>
              <w:tr2bl w:val="nil"/>
            </w:tcBorders>
            <w:noWrap w:val="0"/>
            <w:tcMar>
              <w:top w:w="75" w:type="dxa"/>
              <w:left w:w="120" w:type="dxa"/>
              <w:bottom w:w="75" w:type="dxa"/>
              <w:right w:w="120" w:type="dxa"/>
            </w:tcMar>
            <w:vAlign w:val="center"/>
          </w:tcPr>
          <w:p w14:paraId="0FD4389B">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outlineLvl w:val="9"/>
              <w:rPr>
                <w:rFonts w:hint="default" w:ascii="Times New Roman Regular" w:hAnsi="Times New Roman Regular" w:eastAsia="宋体" w:cs="Times New Roman Regular"/>
                <w:bCs/>
                <w:color w:val="auto"/>
                <w:sz w:val="24"/>
                <w:szCs w:val="24"/>
                <w:highlight w:val="none"/>
                <w:lang w:eastAsia="zh-CN" w:bidi="ar"/>
              </w:rPr>
            </w:pPr>
            <w:r>
              <w:rPr>
                <w:rFonts w:hint="default" w:ascii="Times New Roman Regular" w:hAnsi="Times New Roman Regular" w:eastAsia="宋体" w:cs="Times New Roman Regular"/>
                <w:bCs/>
                <w:color w:val="auto"/>
                <w:sz w:val="24"/>
                <w:szCs w:val="24"/>
                <w:highlight w:val="none"/>
                <w:lang w:val="en-US" w:eastAsia="zh-CN" w:bidi="ar"/>
              </w:rPr>
              <w:t>是</w:t>
            </w:r>
          </w:p>
        </w:tc>
      </w:tr>
      <w:tr w14:paraId="61F3C68E">
        <w:tblPrEx>
          <w:tblBorders>
            <w:top w:val="double" w:color="333333" w:sz="4" w:space="0"/>
            <w:left w:val="double" w:color="333333" w:sz="4" w:space="0"/>
            <w:bottom w:val="double" w:color="333333" w:sz="4" w:space="0"/>
            <w:right w:val="double" w:color="333333" w:sz="4" w:space="0"/>
            <w:insideH w:val="double" w:color="333333" w:sz="4" w:space="0"/>
            <w:insideV w:val="double" w:color="333333" w:sz="4" w:space="0"/>
          </w:tblBorders>
          <w:tblCellMar>
            <w:top w:w="0" w:type="dxa"/>
            <w:left w:w="0" w:type="dxa"/>
            <w:bottom w:w="0" w:type="dxa"/>
            <w:right w:w="0" w:type="dxa"/>
          </w:tblCellMar>
        </w:tblPrEx>
        <w:trPr>
          <w:trHeight w:val="482" w:hRule="atLeast"/>
          <w:jc w:val="center"/>
        </w:trPr>
        <w:tc>
          <w:tcPr>
            <w:tcW w:w="917" w:type="dxa"/>
            <w:tcBorders>
              <w:tl2br w:val="nil"/>
              <w:tr2bl w:val="nil"/>
            </w:tcBorders>
            <w:noWrap w:val="0"/>
            <w:tcMar>
              <w:top w:w="75" w:type="dxa"/>
              <w:left w:w="120" w:type="dxa"/>
              <w:bottom w:w="75" w:type="dxa"/>
              <w:right w:w="120" w:type="dxa"/>
            </w:tcMar>
            <w:vAlign w:val="center"/>
          </w:tcPr>
          <w:p w14:paraId="2EC97493">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outlineLvl w:val="9"/>
              <w:rPr>
                <w:rFonts w:hint="eastAsia" w:ascii="Times New Roman Regular" w:hAnsi="Times New Roman Regular" w:eastAsia="宋体" w:cs="Times New Roman Regular"/>
                <w:bCs/>
                <w:color w:val="auto"/>
                <w:sz w:val="24"/>
                <w:szCs w:val="24"/>
                <w:highlight w:val="none"/>
                <w:lang w:val="en-US" w:eastAsia="zh-CN" w:bidi="ar"/>
              </w:rPr>
            </w:pPr>
            <w:r>
              <w:rPr>
                <w:rFonts w:hint="eastAsia" w:ascii="Times New Roman Regular" w:hAnsi="Times New Roman Regular" w:cs="Times New Roman Regular"/>
                <w:bCs/>
                <w:color w:val="auto"/>
                <w:sz w:val="24"/>
                <w:szCs w:val="24"/>
                <w:highlight w:val="none"/>
                <w:lang w:val="en-US" w:eastAsia="zh-CN" w:bidi="ar"/>
              </w:rPr>
              <w:t>2</w:t>
            </w:r>
          </w:p>
        </w:tc>
        <w:tc>
          <w:tcPr>
            <w:tcW w:w="935" w:type="dxa"/>
            <w:tcBorders>
              <w:tl2br w:val="nil"/>
              <w:tr2bl w:val="nil"/>
            </w:tcBorders>
            <w:noWrap w:val="0"/>
            <w:tcMar>
              <w:top w:w="75" w:type="dxa"/>
              <w:left w:w="120" w:type="dxa"/>
              <w:bottom w:w="75" w:type="dxa"/>
              <w:right w:w="120" w:type="dxa"/>
            </w:tcMar>
            <w:vAlign w:val="center"/>
          </w:tcPr>
          <w:p w14:paraId="46583A76">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outlineLvl w:val="9"/>
              <w:rPr>
                <w:rFonts w:hint="default" w:ascii="Times New Roman Regular" w:hAnsi="Times New Roman Regular" w:eastAsia="宋体" w:cs="Times New Roman Regular"/>
                <w:bCs/>
                <w:color w:val="auto"/>
                <w:sz w:val="24"/>
                <w:szCs w:val="24"/>
                <w:highlight w:val="none"/>
                <w:lang w:bidi="ar"/>
              </w:rPr>
            </w:pPr>
            <w:r>
              <w:rPr>
                <w:rFonts w:hint="default" w:ascii="Times New Roman Regular" w:hAnsi="Times New Roman Regular" w:eastAsia="宋体" w:cs="Times New Roman Regular"/>
                <w:bCs/>
                <w:color w:val="auto"/>
                <w:sz w:val="24"/>
                <w:szCs w:val="24"/>
                <w:highlight w:val="none"/>
                <w:lang w:bidi="ar"/>
              </w:rPr>
              <w:t>详细评审</w:t>
            </w:r>
          </w:p>
        </w:tc>
        <w:tc>
          <w:tcPr>
            <w:tcW w:w="975" w:type="dxa"/>
            <w:tcBorders>
              <w:tl2br w:val="nil"/>
              <w:tr2bl w:val="nil"/>
            </w:tcBorders>
            <w:noWrap w:val="0"/>
            <w:tcMar>
              <w:top w:w="75" w:type="dxa"/>
              <w:left w:w="120" w:type="dxa"/>
              <w:bottom w:w="75" w:type="dxa"/>
              <w:right w:w="120" w:type="dxa"/>
            </w:tcMar>
            <w:vAlign w:val="center"/>
          </w:tcPr>
          <w:p w14:paraId="0584AB8E">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outlineLvl w:val="9"/>
              <w:rPr>
                <w:rFonts w:hint="default" w:ascii="Times New Roman Regular" w:hAnsi="Times New Roman Regular" w:eastAsia="宋体" w:cs="Times New Roman Regular"/>
                <w:bCs/>
                <w:color w:val="auto"/>
                <w:sz w:val="24"/>
                <w:szCs w:val="24"/>
                <w:highlight w:val="none"/>
                <w:lang w:bidi="ar"/>
              </w:rPr>
            </w:pPr>
            <w:r>
              <w:rPr>
                <w:rFonts w:hint="default" w:ascii="Times New Roman Regular" w:hAnsi="Times New Roman Regular" w:eastAsia="宋体" w:cs="Times New Roman Regular"/>
                <w:bCs/>
                <w:color w:val="auto"/>
                <w:sz w:val="24"/>
                <w:szCs w:val="24"/>
                <w:highlight w:val="none"/>
                <w:lang w:bidi="ar"/>
              </w:rPr>
              <w:t>服务保障体系</w:t>
            </w:r>
          </w:p>
        </w:tc>
        <w:tc>
          <w:tcPr>
            <w:tcW w:w="5618" w:type="dxa"/>
            <w:tcBorders>
              <w:tl2br w:val="nil"/>
              <w:tr2bl w:val="nil"/>
            </w:tcBorders>
            <w:noWrap w:val="0"/>
            <w:tcMar>
              <w:top w:w="75" w:type="dxa"/>
              <w:left w:w="120" w:type="dxa"/>
              <w:bottom w:w="75" w:type="dxa"/>
              <w:right w:w="120" w:type="dxa"/>
            </w:tcMar>
            <w:vAlign w:val="center"/>
          </w:tcPr>
          <w:p w14:paraId="74067EB7">
            <w:pPr>
              <w:keepNext w:val="0"/>
              <w:keepLines w:val="0"/>
              <w:pageBreakBefore w:val="0"/>
              <w:widowControl w:val="0"/>
              <w:suppressLineNumbers w:val="0"/>
              <w:kinsoku/>
              <w:wordWrap/>
              <w:overflowPunct w:val="0"/>
              <w:topLinePunct w:val="0"/>
              <w:autoSpaceDE/>
              <w:autoSpaceDN/>
              <w:bidi w:val="0"/>
              <w:adjustRightInd/>
              <w:snapToGrid/>
              <w:spacing w:line="360" w:lineRule="auto"/>
              <w:ind w:firstLine="0" w:firstLineChars="0"/>
              <w:jc w:val="both"/>
              <w:textAlignment w:val="auto"/>
              <w:outlineLvl w:val="9"/>
              <w:rPr>
                <w:rFonts w:hint="default" w:ascii="Times New Roman Regular" w:hAnsi="Times New Roman Regular" w:eastAsia="宋体" w:cs="Times New Roman Regular"/>
                <w:bCs/>
                <w:color w:val="auto"/>
                <w:sz w:val="24"/>
                <w:szCs w:val="24"/>
                <w:highlight w:val="none"/>
                <w:lang w:eastAsia="zh-CN" w:bidi="ar"/>
              </w:rPr>
            </w:pPr>
            <w:r>
              <w:rPr>
                <w:rFonts w:hint="default" w:ascii="Times New Roman Regular" w:hAnsi="Times New Roman Regular" w:eastAsia="宋体" w:cs="Times New Roman Regular"/>
                <w:bCs/>
                <w:color w:val="auto"/>
                <w:sz w:val="24"/>
                <w:szCs w:val="24"/>
                <w:highlight w:val="none"/>
                <w:lang w:eastAsia="zh-CN" w:bidi="ar"/>
              </w:rPr>
              <w:t>1、售后服务承诺</w:t>
            </w:r>
          </w:p>
          <w:p w14:paraId="46666077">
            <w:pPr>
              <w:keepNext w:val="0"/>
              <w:keepLines w:val="0"/>
              <w:pageBreakBefore w:val="0"/>
              <w:widowControl w:val="0"/>
              <w:suppressLineNumbers w:val="0"/>
              <w:kinsoku/>
              <w:wordWrap/>
              <w:overflowPunct w:val="0"/>
              <w:topLinePunct w:val="0"/>
              <w:autoSpaceDE/>
              <w:autoSpaceDN/>
              <w:bidi w:val="0"/>
              <w:adjustRightInd/>
              <w:snapToGrid/>
              <w:spacing w:line="360" w:lineRule="auto"/>
              <w:ind w:firstLine="0" w:firstLineChars="0"/>
              <w:jc w:val="both"/>
              <w:textAlignment w:val="auto"/>
              <w:outlineLvl w:val="9"/>
              <w:rPr>
                <w:rFonts w:hint="default" w:ascii="Times New Roman Regular" w:hAnsi="Times New Roman Regular" w:eastAsia="宋体" w:cs="Times New Roman Regular"/>
                <w:bCs/>
                <w:color w:val="auto"/>
                <w:sz w:val="24"/>
                <w:szCs w:val="24"/>
                <w:highlight w:val="none"/>
                <w:lang w:eastAsia="zh-CN" w:bidi="ar"/>
              </w:rPr>
            </w:pPr>
            <w:r>
              <w:rPr>
                <w:rFonts w:hint="default" w:ascii="Times New Roman Regular" w:hAnsi="Times New Roman Regular" w:eastAsia="宋体" w:cs="Times New Roman Regular"/>
                <w:bCs/>
                <w:color w:val="auto"/>
                <w:sz w:val="24"/>
                <w:szCs w:val="24"/>
                <w:highlight w:val="none"/>
                <w:lang w:eastAsia="zh-CN" w:bidi="ar"/>
              </w:rPr>
              <w:t>承诺提供至少1年的售后服务期（自项目验收合格之日起计算），服务范围包含设施日常维护、故障维修、技术咨询、人员复训等的，得3分；售后服务期超过1年的，每增加1年加1.5分，最多加5分。未承诺售后服务或售后服务范围不明确的，本项不得分。</w:t>
            </w:r>
          </w:p>
          <w:p w14:paraId="7178F855">
            <w:pPr>
              <w:keepNext w:val="0"/>
              <w:keepLines w:val="0"/>
              <w:pageBreakBefore w:val="0"/>
              <w:widowControl w:val="0"/>
              <w:suppressLineNumbers w:val="0"/>
              <w:kinsoku/>
              <w:wordWrap/>
              <w:overflowPunct w:val="0"/>
              <w:topLinePunct w:val="0"/>
              <w:autoSpaceDE/>
              <w:autoSpaceDN/>
              <w:bidi w:val="0"/>
              <w:adjustRightInd/>
              <w:snapToGrid/>
              <w:spacing w:line="360" w:lineRule="auto"/>
              <w:ind w:firstLine="0" w:firstLineChars="0"/>
              <w:jc w:val="both"/>
              <w:textAlignment w:val="auto"/>
              <w:outlineLvl w:val="9"/>
              <w:rPr>
                <w:rFonts w:hint="default" w:ascii="Times New Roman Regular" w:hAnsi="Times New Roman Regular" w:eastAsia="宋体" w:cs="Times New Roman Regular"/>
                <w:bCs/>
                <w:color w:val="auto"/>
                <w:sz w:val="24"/>
                <w:szCs w:val="24"/>
                <w:highlight w:val="none"/>
                <w:lang w:eastAsia="zh-CN" w:bidi="ar"/>
              </w:rPr>
            </w:pPr>
            <w:r>
              <w:rPr>
                <w:rFonts w:hint="default" w:ascii="Times New Roman Regular" w:hAnsi="Times New Roman Regular" w:eastAsia="宋体" w:cs="Times New Roman Regular"/>
                <w:bCs/>
                <w:color w:val="auto"/>
                <w:sz w:val="24"/>
                <w:szCs w:val="24"/>
                <w:highlight w:val="none"/>
                <w:lang w:eastAsia="zh-CN" w:bidi="ar"/>
              </w:rPr>
              <w:t>2、明确服务响应时间（如接到故障通知后2小时内响应，24小时内到场处置）、定期巡检频率（如每月至少1次定期巡检）等服务承诺得2分；提供了备品备件保障方案，确保设施故障时能及时更换维修配件的，得2分。本项最多得4分，服务保障体系不完善或未明确相关服务承诺的不得分。</w:t>
            </w:r>
          </w:p>
          <w:p w14:paraId="4E135374">
            <w:pPr>
              <w:keepNext w:val="0"/>
              <w:keepLines w:val="0"/>
              <w:pageBreakBefore w:val="0"/>
              <w:widowControl w:val="0"/>
              <w:suppressLineNumbers w:val="0"/>
              <w:kinsoku/>
              <w:wordWrap/>
              <w:overflowPunct w:val="0"/>
              <w:topLinePunct w:val="0"/>
              <w:autoSpaceDE/>
              <w:autoSpaceDN/>
              <w:bidi w:val="0"/>
              <w:adjustRightInd/>
              <w:snapToGrid/>
              <w:spacing w:line="360" w:lineRule="auto"/>
              <w:ind w:firstLine="0" w:firstLineChars="0"/>
              <w:jc w:val="both"/>
              <w:textAlignment w:val="auto"/>
              <w:outlineLvl w:val="9"/>
              <w:rPr>
                <w:rFonts w:hint="default" w:ascii="Times New Roman Regular" w:hAnsi="Times New Roman Regular" w:eastAsia="宋体" w:cs="Times New Roman Regular"/>
                <w:bCs/>
                <w:color w:val="auto"/>
                <w:sz w:val="24"/>
                <w:szCs w:val="24"/>
                <w:highlight w:val="none"/>
                <w:lang w:eastAsia="zh-CN" w:bidi="ar"/>
              </w:rPr>
            </w:pPr>
            <w:r>
              <w:rPr>
                <w:rFonts w:hint="default" w:ascii="Times New Roman Regular" w:hAnsi="Times New Roman Regular" w:eastAsia="宋体" w:cs="Times New Roman Regular"/>
                <w:bCs/>
                <w:color w:val="auto"/>
                <w:sz w:val="24"/>
                <w:szCs w:val="24"/>
                <w:highlight w:val="none"/>
                <w:lang w:eastAsia="zh-CN" w:bidi="ar"/>
              </w:rPr>
              <w:t>注：以上需提供承诺函原件加盖投标人鲜章，不提供不得分。</w:t>
            </w:r>
          </w:p>
        </w:tc>
        <w:tc>
          <w:tcPr>
            <w:tcW w:w="560" w:type="dxa"/>
            <w:tcBorders>
              <w:tl2br w:val="nil"/>
              <w:tr2bl w:val="nil"/>
            </w:tcBorders>
            <w:noWrap w:val="0"/>
            <w:tcMar>
              <w:top w:w="75" w:type="dxa"/>
              <w:left w:w="120" w:type="dxa"/>
              <w:bottom w:w="75" w:type="dxa"/>
              <w:right w:w="120" w:type="dxa"/>
            </w:tcMar>
            <w:vAlign w:val="center"/>
          </w:tcPr>
          <w:p w14:paraId="566996CC">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outlineLvl w:val="9"/>
              <w:rPr>
                <w:rFonts w:hint="default" w:ascii="Times New Roman Regular" w:hAnsi="Times New Roman Regular" w:cs="Times New Roman Regular"/>
                <w:bCs/>
                <w:color w:val="auto"/>
                <w:sz w:val="24"/>
                <w:szCs w:val="24"/>
                <w:highlight w:val="none"/>
                <w:lang w:val="en-US" w:eastAsia="zh-CN"/>
              </w:rPr>
            </w:pPr>
            <w:r>
              <w:rPr>
                <w:rFonts w:hint="eastAsia" w:ascii="Times New Roman Regular" w:hAnsi="Times New Roman Regular" w:cs="Times New Roman Regular"/>
                <w:bCs/>
                <w:color w:val="auto"/>
                <w:sz w:val="24"/>
                <w:szCs w:val="24"/>
                <w:highlight w:val="none"/>
                <w:lang w:val="en-US" w:eastAsia="zh-CN"/>
              </w:rPr>
              <w:t>9</w:t>
            </w:r>
          </w:p>
        </w:tc>
        <w:tc>
          <w:tcPr>
            <w:tcW w:w="847" w:type="dxa"/>
            <w:tcBorders>
              <w:tl2br w:val="nil"/>
              <w:tr2bl w:val="nil"/>
            </w:tcBorders>
            <w:noWrap w:val="0"/>
            <w:tcMar>
              <w:top w:w="75" w:type="dxa"/>
              <w:left w:w="120" w:type="dxa"/>
              <w:bottom w:w="75" w:type="dxa"/>
              <w:right w:w="120" w:type="dxa"/>
            </w:tcMar>
            <w:vAlign w:val="center"/>
          </w:tcPr>
          <w:p w14:paraId="74084033">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outlineLvl w:val="9"/>
              <w:rPr>
                <w:rFonts w:hint="default" w:ascii="Times New Roman Regular" w:hAnsi="Times New Roman Regular" w:eastAsia="宋体" w:cs="Times New Roman Regular"/>
                <w:bCs/>
                <w:color w:val="auto"/>
                <w:sz w:val="24"/>
                <w:szCs w:val="24"/>
                <w:highlight w:val="none"/>
                <w:lang w:val="en-US" w:eastAsia="zh-CN" w:bidi="ar"/>
              </w:rPr>
            </w:pPr>
            <w:r>
              <w:rPr>
                <w:rFonts w:hint="default" w:ascii="Times New Roman Regular" w:hAnsi="Times New Roman Regular" w:eastAsia="宋体" w:cs="Times New Roman Regular"/>
                <w:bCs/>
                <w:color w:val="auto"/>
                <w:sz w:val="24"/>
                <w:szCs w:val="24"/>
                <w:highlight w:val="none"/>
                <w:lang w:val="en-US" w:eastAsia="zh-CN" w:bidi="ar"/>
              </w:rPr>
              <w:t>是</w:t>
            </w:r>
          </w:p>
        </w:tc>
      </w:tr>
      <w:tr w14:paraId="5D00C40C">
        <w:tblPrEx>
          <w:tblBorders>
            <w:top w:val="double" w:color="333333" w:sz="4" w:space="0"/>
            <w:left w:val="double" w:color="333333" w:sz="4" w:space="0"/>
            <w:bottom w:val="double" w:color="333333" w:sz="4" w:space="0"/>
            <w:right w:val="double" w:color="333333" w:sz="4" w:space="0"/>
            <w:insideH w:val="double" w:color="333333" w:sz="4" w:space="0"/>
            <w:insideV w:val="double" w:color="333333" w:sz="4" w:space="0"/>
          </w:tblBorders>
          <w:tblCellMar>
            <w:top w:w="0" w:type="dxa"/>
            <w:left w:w="0" w:type="dxa"/>
            <w:bottom w:w="0" w:type="dxa"/>
            <w:right w:w="0" w:type="dxa"/>
          </w:tblCellMar>
        </w:tblPrEx>
        <w:trPr>
          <w:trHeight w:val="482" w:hRule="atLeast"/>
          <w:jc w:val="center"/>
        </w:trPr>
        <w:tc>
          <w:tcPr>
            <w:tcW w:w="917" w:type="dxa"/>
            <w:tcBorders>
              <w:tl2br w:val="nil"/>
              <w:tr2bl w:val="nil"/>
            </w:tcBorders>
            <w:noWrap w:val="0"/>
            <w:tcMar>
              <w:top w:w="75" w:type="dxa"/>
              <w:left w:w="120" w:type="dxa"/>
              <w:bottom w:w="75" w:type="dxa"/>
              <w:right w:w="120" w:type="dxa"/>
            </w:tcMar>
            <w:vAlign w:val="center"/>
          </w:tcPr>
          <w:p w14:paraId="0FEDF721">
            <w:pPr>
              <w:widowControl/>
              <w:spacing w:line="360" w:lineRule="auto"/>
              <w:jc w:val="center"/>
              <w:rPr>
                <w:rFonts w:hint="default" w:ascii="Times New Roman Regular" w:hAnsi="Times New Roman Regular" w:eastAsia="宋体" w:cs="Times New Roman Regular"/>
                <w:bCs/>
                <w:color w:val="auto"/>
                <w:sz w:val="24"/>
                <w:szCs w:val="24"/>
                <w:highlight w:val="none"/>
                <w:lang w:bidi="ar"/>
              </w:rPr>
            </w:pPr>
            <w:r>
              <w:rPr>
                <w:rFonts w:hint="eastAsia" w:hAnsi="宋体" w:cs="宋体"/>
                <w:bCs/>
                <w:color w:val="auto"/>
                <w:sz w:val="24"/>
                <w:szCs w:val="24"/>
                <w:highlight w:val="none"/>
              </w:rPr>
              <w:t>2</w:t>
            </w:r>
          </w:p>
        </w:tc>
        <w:tc>
          <w:tcPr>
            <w:tcW w:w="935" w:type="dxa"/>
            <w:tcBorders>
              <w:tl2br w:val="nil"/>
              <w:tr2bl w:val="nil"/>
            </w:tcBorders>
            <w:noWrap w:val="0"/>
            <w:tcMar>
              <w:top w:w="75" w:type="dxa"/>
              <w:left w:w="120" w:type="dxa"/>
              <w:bottom w:w="75" w:type="dxa"/>
              <w:right w:w="120" w:type="dxa"/>
            </w:tcMar>
            <w:vAlign w:val="center"/>
          </w:tcPr>
          <w:p w14:paraId="61BD75BF">
            <w:pPr>
              <w:widowControl/>
              <w:spacing w:line="360" w:lineRule="auto"/>
              <w:jc w:val="center"/>
              <w:rPr>
                <w:rFonts w:hint="default" w:ascii="Times New Roman Regular" w:hAnsi="Times New Roman Regular" w:eastAsia="宋体" w:cs="Times New Roman Regular"/>
                <w:bCs/>
                <w:color w:val="auto"/>
                <w:sz w:val="24"/>
                <w:szCs w:val="24"/>
                <w:highlight w:val="none"/>
                <w:lang w:bidi="ar"/>
              </w:rPr>
            </w:pPr>
            <w:r>
              <w:rPr>
                <w:rFonts w:hint="eastAsia" w:hAnsi="宋体" w:cs="宋体"/>
                <w:bCs/>
                <w:color w:val="auto"/>
                <w:sz w:val="24"/>
                <w:szCs w:val="24"/>
                <w:highlight w:val="none"/>
              </w:rPr>
              <w:t>价格扣除</w:t>
            </w:r>
          </w:p>
        </w:tc>
        <w:tc>
          <w:tcPr>
            <w:tcW w:w="975" w:type="dxa"/>
            <w:tcBorders>
              <w:tl2br w:val="nil"/>
              <w:tr2bl w:val="nil"/>
            </w:tcBorders>
            <w:noWrap w:val="0"/>
            <w:tcMar>
              <w:top w:w="75" w:type="dxa"/>
              <w:left w:w="120" w:type="dxa"/>
              <w:bottom w:w="75" w:type="dxa"/>
              <w:right w:w="120" w:type="dxa"/>
            </w:tcMar>
            <w:vAlign w:val="center"/>
          </w:tcPr>
          <w:p w14:paraId="51BE245D">
            <w:pPr>
              <w:widowControl/>
              <w:spacing w:line="360" w:lineRule="auto"/>
              <w:jc w:val="center"/>
              <w:rPr>
                <w:rFonts w:hint="default" w:ascii="Times New Roman Regular" w:hAnsi="Times New Roman Regular" w:eastAsia="宋体" w:cs="Times New Roman Regular"/>
                <w:bCs/>
                <w:color w:val="auto"/>
                <w:sz w:val="24"/>
                <w:szCs w:val="24"/>
                <w:highlight w:val="none"/>
                <w:lang w:bidi="ar"/>
              </w:rPr>
            </w:pPr>
            <w:r>
              <w:rPr>
                <w:rFonts w:hint="eastAsia" w:hAnsi="宋体" w:cs="宋体"/>
                <w:bCs/>
                <w:color w:val="auto"/>
                <w:sz w:val="24"/>
                <w:szCs w:val="24"/>
                <w:highlight w:val="none"/>
              </w:rPr>
              <w:t>中小企业价格扣除</w:t>
            </w:r>
          </w:p>
        </w:tc>
        <w:tc>
          <w:tcPr>
            <w:tcW w:w="5618" w:type="dxa"/>
            <w:tcBorders>
              <w:tl2br w:val="nil"/>
              <w:tr2bl w:val="nil"/>
            </w:tcBorders>
            <w:noWrap w:val="0"/>
            <w:tcMar>
              <w:top w:w="75" w:type="dxa"/>
              <w:left w:w="120" w:type="dxa"/>
              <w:bottom w:w="75" w:type="dxa"/>
              <w:right w:w="120" w:type="dxa"/>
            </w:tcMar>
            <w:vAlign w:val="center"/>
          </w:tcPr>
          <w:p w14:paraId="1791AEC6">
            <w:pPr>
              <w:widowControl/>
              <w:spacing w:line="360" w:lineRule="auto"/>
              <w:jc w:val="left"/>
              <w:rPr>
                <w:rFonts w:hint="default" w:ascii="Times New Roman Regular" w:hAnsi="Times New Roman Regular" w:eastAsia="宋体" w:cs="Times New Roman Regular"/>
                <w:color w:val="auto"/>
                <w:kern w:val="0"/>
                <w:sz w:val="24"/>
                <w:szCs w:val="24"/>
                <w:highlight w:val="none"/>
                <w:lang w:val="en-US" w:eastAsia="zh-CN" w:bidi="ar"/>
              </w:rPr>
            </w:pPr>
            <w:r>
              <w:rPr>
                <w:rFonts w:hint="eastAsia" w:hAnsi="宋体" w:cs="宋体"/>
                <w:bCs/>
                <w:color w:val="auto"/>
                <w:sz w:val="24"/>
                <w:szCs w:val="24"/>
                <w:highlight w:val="none"/>
              </w:rPr>
              <w:t>按照《政府采购促进中小企业发展管理办法》对小型和微型企业产品的价格给予</w:t>
            </w:r>
            <w:r>
              <w:rPr>
                <w:rFonts w:hint="eastAsia" w:hAnsi="宋体" w:cs="宋体"/>
                <w:bCs/>
                <w:color w:val="auto"/>
                <w:sz w:val="24"/>
                <w:szCs w:val="24"/>
                <w:highlight w:val="none"/>
                <w:lang w:val="en-US" w:eastAsia="zh-CN"/>
              </w:rPr>
              <w:t>1</w:t>
            </w:r>
            <w:r>
              <w:rPr>
                <w:rFonts w:hint="eastAsia" w:hAnsi="宋体" w:cs="宋体"/>
                <w:bCs/>
                <w:color w:val="auto"/>
                <w:sz w:val="24"/>
                <w:szCs w:val="24"/>
                <w:highlight w:val="none"/>
              </w:rPr>
              <w:t>0%的扣除，用扣除后的价格参与评审，监狱企业、残疾人企业视同小微企业（详见须知前附表）</w:t>
            </w:r>
          </w:p>
        </w:tc>
        <w:tc>
          <w:tcPr>
            <w:tcW w:w="560" w:type="dxa"/>
            <w:tcBorders>
              <w:tl2br w:val="nil"/>
              <w:tr2bl w:val="nil"/>
            </w:tcBorders>
            <w:noWrap w:val="0"/>
            <w:tcMar>
              <w:top w:w="75" w:type="dxa"/>
              <w:left w:w="120" w:type="dxa"/>
              <w:bottom w:w="75" w:type="dxa"/>
              <w:right w:w="120" w:type="dxa"/>
            </w:tcMar>
            <w:vAlign w:val="center"/>
          </w:tcPr>
          <w:p w14:paraId="4346D7A8">
            <w:pPr>
              <w:widowControl/>
              <w:spacing w:line="360" w:lineRule="auto"/>
              <w:jc w:val="center"/>
              <w:rPr>
                <w:rFonts w:hint="eastAsia" w:ascii="Times New Roman Regular" w:hAnsi="Times New Roman Regular" w:eastAsia="宋体" w:cs="Times New Roman Regular"/>
                <w:bCs/>
                <w:color w:val="auto"/>
                <w:sz w:val="24"/>
                <w:szCs w:val="24"/>
                <w:highlight w:val="none"/>
                <w:lang w:val="en-US" w:eastAsia="zh-CN"/>
              </w:rPr>
            </w:pPr>
            <w:r>
              <w:rPr>
                <w:rFonts w:hint="eastAsia" w:hAnsi="宋体" w:cs="宋体"/>
                <w:bCs/>
                <w:color w:val="auto"/>
                <w:sz w:val="24"/>
                <w:szCs w:val="24"/>
                <w:highlight w:val="none"/>
              </w:rPr>
              <w:t>0</w:t>
            </w:r>
          </w:p>
        </w:tc>
        <w:tc>
          <w:tcPr>
            <w:tcW w:w="847" w:type="dxa"/>
            <w:tcBorders>
              <w:tl2br w:val="nil"/>
              <w:tr2bl w:val="nil"/>
            </w:tcBorders>
            <w:noWrap w:val="0"/>
            <w:tcMar>
              <w:top w:w="75" w:type="dxa"/>
              <w:left w:w="120" w:type="dxa"/>
              <w:bottom w:w="75" w:type="dxa"/>
              <w:right w:w="120" w:type="dxa"/>
            </w:tcMar>
            <w:vAlign w:val="center"/>
          </w:tcPr>
          <w:p w14:paraId="0FFE735A">
            <w:pPr>
              <w:widowControl/>
              <w:spacing w:line="360" w:lineRule="auto"/>
              <w:jc w:val="center"/>
              <w:rPr>
                <w:rFonts w:hint="default" w:ascii="Times New Roman Regular" w:hAnsi="Times New Roman Regular" w:eastAsia="宋体" w:cs="Times New Roman Regular"/>
                <w:bCs/>
                <w:color w:val="auto"/>
                <w:sz w:val="24"/>
                <w:szCs w:val="24"/>
                <w:highlight w:val="none"/>
                <w:lang w:val="en-US" w:eastAsia="zh-CN" w:bidi="ar"/>
              </w:rPr>
            </w:pPr>
            <w:r>
              <w:rPr>
                <w:rFonts w:hint="eastAsia" w:hAnsi="宋体" w:cs="宋体"/>
                <w:bCs/>
                <w:color w:val="auto"/>
                <w:sz w:val="24"/>
                <w:szCs w:val="24"/>
                <w:highlight w:val="none"/>
              </w:rPr>
              <w:t>是</w:t>
            </w:r>
          </w:p>
        </w:tc>
      </w:tr>
      <w:tr w14:paraId="57D73B09">
        <w:tblPrEx>
          <w:tblBorders>
            <w:top w:val="double" w:color="333333" w:sz="4" w:space="0"/>
            <w:left w:val="double" w:color="333333" w:sz="4" w:space="0"/>
            <w:bottom w:val="double" w:color="333333" w:sz="4" w:space="0"/>
            <w:right w:val="double" w:color="333333" w:sz="4" w:space="0"/>
            <w:insideH w:val="double" w:color="333333" w:sz="4" w:space="0"/>
            <w:insideV w:val="double" w:color="333333" w:sz="4" w:space="0"/>
          </w:tblBorders>
          <w:tblCellMar>
            <w:top w:w="0" w:type="dxa"/>
            <w:left w:w="0" w:type="dxa"/>
            <w:bottom w:w="0" w:type="dxa"/>
            <w:right w:w="0" w:type="dxa"/>
          </w:tblCellMar>
        </w:tblPrEx>
        <w:trPr>
          <w:trHeight w:val="482" w:hRule="atLeast"/>
          <w:jc w:val="center"/>
        </w:trPr>
        <w:tc>
          <w:tcPr>
            <w:tcW w:w="917" w:type="dxa"/>
            <w:tcBorders>
              <w:tl2br w:val="nil"/>
              <w:tr2bl w:val="nil"/>
            </w:tcBorders>
            <w:noWrap w:val="0"/>
            <w:tcMar>
              <w:top w:w="75" w:type="dxa"/>
              <w:left w:w="120" w:type="dxa"/>
              <w:bottom w:w="75" w:type="dxa"/>
              <w:right w:w="120" w:type="dxa"/>
            </w:tcMar>
            <w:vAlign w:val="center"/>
          </w:tcPr>
          <w:p w14:paraId="2C22A1D9">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outlineLvl w:val="9"/>
              <w:rPr>
                <w:rFonts w:hint="default" w:ascii="Times New Roman Regular" w:hAnsi="Times New Roman Regular" w:eastAsia="宋体" w:cs="Times New Roman Regular"/>
                <w:bCs/>
                <w:color w:val="auto"/>
                <w:sz w:val="24"/>
                <w:szCs w:val="24"/>
                <w:highlight w:val="none"/>
                <w:lang w:eastAsia="zh-CN" w:bidi="ar"/>
              </w:rPr>
            </w:pPr>
            <w:r>
              <w:rPr>
                <w:rFonts w:hint="eastAsia" w:ascii="Times New Roman Regular" w:hAnsi="Times New Roman Regular" w:eastAsia="宋体" w:cs="Times New Roman Regular"/>
                <w:bCs/>
                <w:color w:val="auto"/>
                <w:sz w:val="24"/>
                <w:szCs w:val="24"/>
                <w:highlight w:val="none"/>
                <w:lang w:val="en-US" w:eastAsia="zh-CN" w:bidi="ar"/>
              </w:rPr>
              <w:t>3</w:t>
            </w:r>
          </w:p>
        </w:tc>
        <w:tc>
          <w:tcPr>
            <w:tcW w:w="935" w:type="dxa"/>
            <w:tcBorders>
              <w:tl2br w:val="nil"/>
              <w:tr2bl w:val="nil"/>
            </w:tcBorders>
            <w:noWrap w:val="0"/>
            <w:tcMar>
              <w:top w:w="75" w:type="dxa"/>
              <w:left w:w="120" w:type="dxa"/>
              <w:bottom w:w="75" w:type="dxa"/>
              <w:right w:w="120" w:type="dxa"/>
            </w:tcMar>
            <w:vAlign w:val="center"/>
          </w:tcPr>
          <w:p w14:paraId="744A66A1">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outlineLvl w:val="9"/>
              <w:rPr>
                <w:rFonts w:hint="default" w:ascii="Times New Roman Regular" w:hAnsi="Times New Roman Regular" w:eastAsia="宋体" w:cs="Times New Roman Regular"/>
                <w:bCs/>
                <w:color w:val="auto"/>
                <w:sz w:val="24"/>
                <w:szCs w:val="24"/>
                <w:highlight w:val="none"/>
                <w:lang w:bidi="ar"/>
              </w:rPr>
            </w:pPr>
            <w:r>
              <w:rPr>
                <w:rFonts w:hint="default" w:ascii="Times New Roman Regular" w:hAnsi="Times New Roman Regular" w:eastAsia="宋体" w:cs="Times New Roman Regular"/>
                <w:bCs/>
                <w:color w:val="auto"/>
                <w:sz w:val="24"/>
                <w:szCs w:val="24"/>
                <w:highlight w:val="none"/>
                <w:lang w:bidi="ar"/>
              </w:rPr>
              <w:t>价格分</w:t>
            </w:r>
          </w:p>
        </w:tc>
        <w:tc>
          <w:tcPr>
            <w:tcW w:w="975" w:type="dxa"/>
            <w:tcBorders>
              <w:tl2br w:val="nil"/>
              <w:tr2bl w:val="nil"/>
            </w:tcBorders>
            <w:noWrap w:val="0"/>
            <w:tcMar>
              <w:top w:w="75" w:type="dxa"/>
              <w:left w:w="120" w:type="dxa"/>
              <w:bottom w:w="75" w:type="dxa"/>
              <w:right w:w="120" w:type="dxa"/>
            </w:tcMar>
            <w:vAlign w:val="center"/>
          </w:tcPr>
          <w:p w14:paraId="1CD372AC">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outlineLvl w:val="9"/>
              <w:rPr>
                <w:rFonts w:hint="default" w:ascii="Times New Roman Regular" w:hAnsi="Times New Roman Regular" w:eastAsia="宋体" w:cs="Times New Roman Regular"/>
                <w:bCs/>
                <w:color w:val="auto"/>
                <w:sz w:val="24"/>
                <w:szCs w:val="24"/>
                <w:highlight w:val="none"/>
                <w:lang w:bidi="ar"/>
              </w:rPr>
            </w:pPr>
            <w:r>
              <w:rPr>
                <w:rFonts w:hint="default" w:ascii="Times New Roman Regular" w:hAnsi="Times New Roman Regular" w:eastAsia="宋体" w:cs="Times New Roman Regular"/>
                <w:bCs/>
                <w:color w:val="auto"/>
                <w:sz w:val="24"/>
                <w:szCs w:val="24"/>
                <w:highlight w:val="none"/>
                <w:lang w:bidi="ar"/>
              </w:rPr>
              <w:t>报价</w:t>
            </w:r>
          </w:p>
        </w:tc>
        <w:tc>
          <w:tcPr>
            <w:tcW w:w="5618" w:type="dxa"/>
            <w:tcBorders>
              <w:tl2br w:val="nil"/>
              <w:tr2bl w:val="nil"/>
            </w:tcBorders>
            <w:noWrap w:val="0"/>
            <w:tcMar>
              <w:top w:w="75" w:type="dxa"/>
              <w:left w:w="120" w:type="dxa"/>
              <w:bottom w:w="75" w:type="dxa"/>
              <w:right w:w="120" w:type="dxa"/>
            </w:tcMar>
            <w:vAlign w:val="center"/>
          </w:tcPr>
          <w:p w14:paraId="46B3D175">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both"/>
              <w:textAlignment w:val="auto"/>
              <w:outlineLvl w:val="9"/>
              <w:rPr>
                <w:rFonts w:hint="default" w:ascii="Times New Roman Regular" w:hAnsi="Times New Roman Regular" w:eastAsia="宋体" w:cs="Times New Roman Regular"/>
                <w:bCs/>
                <w:color w:val="auto"/>
                <w:sz w:val="24"/>
                <w:szCs w:val="24"/>
                <w:highlight w:val="none"/>
                <w:lang w:bidi="ar"/>
              </w:rPr>
            </w:pPr>
            <w:r>
              <w:rPr>
                <w:rFonts w:hint="default" w:ascii="Times New Roman Regular" w:hAnsi="Times New Roman Regular" w:eastAsia="宋体" w:cs="Times New Roman Regular"/>
                <w:bCs/>
                <w:color w:val="auto"/>
                <w:sz w:val="24"/>
                <w:szCs w:val="24"/>
                <w:highlight w:val="none"/>
                <w:lang w:bidi="ar"/>
              </w:rPr>
              <w:t>综合评分法中的价格分统一采用低价优先法计算，即满足</w:t>
            </w:r>
            <w:r>
              <w:rPr>
                <w:rFonts w:hint="eastAsia" w:ascii="Times New Roman Regular" w:hAnsi="Times New Roman Regular" w:cs="Times New Roman Regular"/>
                <w:bCs/>
                <w:color w:val="auto"/>
                <w:sz w:val="24"/>
                <w:szCs w:val="24"/>
                <w:highlight w:val="none"/>
                <w:lang w:eastAsia="zh-CN" w:bidi="ar"/>
              </w:rPr>
              <w:t>招标</w:t>
            </w:r>
            <w:r>
              <w:rPr>
                <w:rFonts w:hint="default" w:ascii="Times New Roman Regular" w:hAnsi="Times New Roman Regular" w:eastAsia="宋体" w:cs="Times New Roman Regular"/>
                <w:bCs/>
                <w:color w:val="auto"/>
                <w:sz w:val="24"/>
                <w:szCs w:val="24"/>
                <w:highlight w:val="none"/>
                <w:lang w:bidi="ar"/>
              </w:rPr>
              <w:t>文件要求且最后报价最低的供应商的价格为基准价，其价格分为满分。</w:t>
            </w:r>
          </w:p>
          <w:p w14:paraId="0766ABFC">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both"/>
              <w:textAlignment w:val="auto"/>
              <w:outlineLvl w:val="9"/>
              <w:rPr>
                <w:rFonts w:hint="default" w:ascii="Times New Roman Regular" w:hAnsi="Times New Roman Regular" w:eastAsia="宋体" w:cs="Times New Roman Regular"/>
                <w:bCs/>
                <w:color w:val="auto"/>
                <w:sz w:val="24"/>
                <w:szCs w:val="24"/>
                <w:highlight w:val="none"/>
                <w:lang w:bidi="ar"/>
              </w:rPr>
            </w:pPr>
            <w:r>
              <w:rPr>
                <w:rFonts w:hint="default" w:ascii="Times New Roman Regular" w:hAnsi="Times New Roman Regular" w:eastAsia="宋体" w:cs="Times New Roman Regular"/>
                <w:bCs/>
                <w:color w:val="auto"/>
                <w:sz w:val="24"/>
                <w:szCs w:val="24"/>
                <w:highlight w:val="none"/>
                <w:lang w:bidi="ar"/>
              </w:rPr>
              <w:t>其他供应商的价格分统一按照下列公式计算：报价得分=（基准价/最后报价）×100×30%。</w:t>
            </w:r>
          </w:p>
        </w:tc>
        <w:tc>
          <w:tcPr>
            <w:tcW w:w="560" w:type="dxa"/>
            <w:tcBorders>
              <w:tl2br w:val="nil"/>
              <w:tr2bl w:val="nil"/>
            </w:tcBorders>
            <w:noWrap w:val="0"/>
            <w:tcMar>
              <w:top w:w="75" w:type="dxa"/>
              <w:left w:w="120" w:type="dxa"/>
              <w:bottom w:w="75" w:type="dxa"/>
              <w:right w:w="120" w:type="dxa"/>
            </w:tcMar>
            <w:vAlign w:val="center"/>
          </w:tcPr>
          <w:p w14:paraId="3EFDE5D2">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outlineLvl w:val="9"/>
              <w:rPr>
                <w:rFonts w:hint="default" w:ascii="Times New Roman Regular" w:hAnsi="Times New Roman Regular" w:eastAsia="宋体" w:cs="Times New Roman Regular"/>
                <w:bCs/>
                <w:color w:val="auto"/>
                <w:sz w:val="24"/>
                <w:szCs w:val="24"/>
                <w:highlight w:val="none"/>
                <w:lang w:val="en-US" w:eastAsia="zh-CN" w:bidi="ar"/>
              </w:rPr>
            </w:pPr>
            <w:r>
              <w:rPr>
                <w:rFonts w:hint="default" w:ascii="Times New Roman Regular" w:hAnsi="Times New Roman Regular" w:eastAsia="宋体" w:cs="Times New Roman Regular"/>
                <w:bCs/>
                <w:color w:val="auto"/>
                <w:sz w:val="24"/>
                <w:szCs w:val="24"/>
                <w:highlight w:val="none"/>
                <w:lang w:val="en-US" w:eastAsia="zh-CN" w:bidi="ar"/>
              </w:rPr>
              <w:t>30</w:t>
            </w:r>
          </w:p>
        </w:tc>
        <w:tc>
          <w:tcPr>
            <w:tcW w:w="847" w:type="dxa"/>
            <w:tcBorders>
              <w:tl2br w:val="nil"/>
              <w:tr2bl w:val="nil"/>
            </w:tcBorders>
            <w:noWrap w:val="0"/>
            <w:tcMar>
              <w:top w:w="75" w:type="dxa"/>
              <w:left w:w="120" w:type="dxa"/>
              <w:bottom w:w="75" w:type="dxa"/>
              <w:right w:w="120" w:type="dxa"/>
            </w:tcMar>
            <w:vAlign w:val="center"/>
          </w:tcPr>
          <w:p w14:paraId="29CA03AF">
            <w:pPr>
              <w:keepNext w:val="0"/>
              <w:keepLines w:val="0"/>
              <w:pageBreakBefore w:val="0"/>
              <w:widowControl w:val="0"/>
              <w:kinsoku/>
              <w:wordWrap/>
              <w:overflowPunct w:val="0"/>
              <w:topLinePunct w:val="0"/>
              <w:autoSpaceDE/>
              <w:autoSpaceDN/>
              <w:bidi w:val="0"/>
              <w:adjustRightInd/>
              <w:snapToGrid/>
              <w:spacing w:line="360" w:lineRule="auto"/>
              <w:ind w:firstLine="0" w:firstLineChars="0"/>
              <w:jc w:val="center"/>
              <w:textAlignment w:val="auto"/>
              <w:outlineLvl w:val="9"/>
              <w:rPr>
                <w:rFonts w:hint="default" w:ascii="Times New Roman Regular" w:hAnsi="Times New Roman Regular" w:eastAsia="宋体" w:cs="Times New Roman Regular"/>
                <w:bCs/>
                <w:color w:val="auto"/>
                <w:sz w:val="24"/>
                <w:szCs w:val="24"/>
                <w:highlight w:val="none"/>
                <w:lang w:bidi="ar"/>
              </w:rPr>
            </w:pPr>
            <w:r>
              <w:rPr>
                <w:rFonts w:hint="default" w:ascii="Times New Roman Regular" w:hAnsi="Times New Roman Regular" w:eastAsia="宋体" w:cs="Times New Roman Regular"/>
                <w:bCs/>
                <w:color w:val="auto"/>
                <w:sz w:val="24"/>
                <w:szCs w:val="24"/>
                <w:highlight w:val="none"/>
                <w:lang w:bidi="ar"/>
              </w:rPr>
              <w:t>是</w:t>
            </w:r>
          </w:p>
        </w:tc>
      </w:tr>
    </w:tbl>
    <w:p w14:paraId="5AA52A84">
      <w:pPr>
        <w:pStyle w:val="18"/>
        <w:rPr>
          <w:rFonts w:hint="eastAsia"/>
          <w:color w:val="auto"/>
          <w:highlight w:val="none"/>
        </w:rPr>
      </w:pPr>
    </w:p>
    <w:p w14:paraId="3FCF23C2">
      <w:pPr>
        <w:keepLines w:val="0"/>
        <w:pageBreakBefore w:val="0"/>
        <w:kinsoku/>
        <w:overflowPunct/>
        <w:bidi w:val="0"/>
        <w:spacing w:line="360" w:lineRule="auto"/>
        <w:ind w:firstLine="480" w:firstLineChars="200"/>
        <w:rPr>
          <w:color w:val="auto"/>
          <w:highlight w:val="none"/>
        </w:rPr>
      </w:pPr>
      <w:r>
        <w:rPr>
          <w:rFonts w:hint="eastAsia"/>
          <w:color w:val="auto"/>
          <w:highlight w:val="none"/>
        </w:rPr>
        <w:t>注：1.评标时，评标委员会各成员应当独立对每个投标人的投标文件进行评价，并汇总每个投标人的得分。</w:t>
      </w:r>
    </w:p>
    <w:p w14:paraId="4790D43D">
      <w:pPr>
        <w:keepLines w:val="0"/>
        <w:pageBreakBefore w:val="0"/>
        <w:numPr>
          <w:ilvl w:val="0"/>
          <w:numId w:val="17"/>
        </w:numPr>
        <w:kinsoku/>
        <w:overflowPunct/>
        <w:bidi w:val="0"/>
        <w:spacing w:line="360" w:lineRule="auto"/>
        <w:ind w:left="960" w:leftChars="0" w:firstLine="0" w:firstLineChars="0"/>
        <w:rPr>
          <w:rFonts w:hint="eastAsia"/>
          <w:color w:val="auto"/>
          <w:highlight w:val="none"/>
        </w:rPr>
      </w:pPr>
      <w:r>
        <w:rPr>
          <w:rFonts w:hint="eastAsia"/>
          <w:color w:val="auto"/>
          <w:highlight w:val="none"/>
        </w:rPr>
        <w:t>评分的取值按四舍五入法，保留小数点后两位。</w:t>
      </w:r>
    </w:p>
    <w:p w14:paraId="76E1A5C0">
      <w:pPr>
        <w:pStyle w:val="4"/>
        <w:keepLines w:val="0"/>
        <w:pageBreakBefore w:val="0"/>
        <w:kinsoku/>
        <w:overflowPunct/>
        <w:bidi w:val="0"/>
        <w:spacing w:line="360" w:lineRule="auto"/>
        <w:rPr>
          <w:color w:val="auto"/>
          <w:highlight w:val="none"/>
        </w:rPr>
      </w:pPr>
      <w:r>
        <w:rPr>
          <w:rFonts w:hint="eastAsia"/>
          <w:color w:val="auto"/>
          <w:highlight w:val="none"/>
        </w:rPr>
        <w:t>5、 废 标</w:t>
      </w:r>
    </w:p>
    <w:p w14:paraId="4C7C900D">
      <w:pPr>
        <w:keepLines w:val="0"/>
        <w:pageBreakBefore w:val="0"/>
        <w:kinsoku/>
        <w:overflowPunct/>
        <w:bidi w:val="0"/>
        <w:spacing w:line="360" w:lineRule="auto"/>
        <w:ind w:firstLine="480" w:firstLineChars="200"/>
        <w:rPr>
          <w:color w:val="auto"/>
          <w:highlight w:val="none"/>
        </w:rPr>
      </w:pPr>
      <w:r>
        <w:rPr>
          <w:rFonts w:hint="eastAsia"/>
          <w:color w:val="auto"/>
          <w:highlight w:val="none"/>
        </w:rPr>
        <w:t>5.1本次</w:t>
      </w:r>
      <w:r>
        <w:rPr>
          <w:rFonts w:hint="eastAsia"/>
          <w:color w:val="auto"/>
          <w:highlight w:val="none"/>
          <w:lang w:eastAsia="zh-CN"/>
        </w:rPr>
        <w:t>采购活动</w:t>
      </w:r>
      <w:r>
        <w:rPr>
          <w:rFonts w:hint="eastAsia"/>
          <w:color w:val="auto"/>
          <w:highlight w:val="none"/>
        </w:rPr>
        <w:t>中，出现下列情形之一的，予以废标：</w:t>
      </w:r>
    </w:p>
    <w:p w14:paraId="3216C4CC">
      <w:pPr>
        <w:keepLines w:val="0"/>
        <w:pageBreakBefore w:val="0"/>
        <w:kinsoku/>
        <w:overflowPunct/>
        <w:bidi w:val="0"/>
        <w:spacing w:line="360" w:lineRule="auto"/>
        <w:ind w:firstLine="480" w:firstLineChars="200"/>
        <w:rPr>
          <w:color w:val="auto"/>
          <w:highlight w:val="none"/>
        </w:rPr>
      </w:pPr>
      <w:r>
        <w:rPr>
          <w:rFonts w:hint="eastAsia"/>
          <w:color w:val="auto"/>
          <w:highlight w:val="none"/>
        </w:rPr>
        <w:t>（1）符合专业条件的供应商或者对招标文件作实质响应的供应商不足三家的；</w:t>
      </w:r>
    </w:p>
    <w:p w14:paraId="69474BDC">
      <w:pPr>
        <w:keepLines w:val="0"/>
        <w:pageBreakBefore w:val="0"/>
        <w:kinsoku/>
        <w:overflowPunct/>
        <w:bidi w:val="0"/>
        <w:spacing w:line="360" w:lineRule="auto"/>
        <w:ind w:firstLine="480" w:firstLineChars="200"/>
        <w:rPr>
          <w:color w:val="auto"/>
          <w:highlight w:val="none"/>
        </w:rPr>
      </w:pPr>
      <w:r>
        <w:rPr>
          <w:rFonts w:hint="eastAsia"/>
          <w:color w:val="auto"/>
          <w:highlight w:val="none"/>
        </w:rPr>
        <w:t>（2）出现影响采购公正的违法、违规行为的；</w:t>
      </w:r>
    </w:p>
    <w:p w14:paraId="16C8BD23">
      <w:pPr>
        <w:keepLines w:val="0"/>
        <w:pageBreakBefore w:val="0"/>
        <w:kinsoku/>
        <w:overflowPunct/>
        <w:bidi w:val="0"/>
        <w:spacing w:line="360" w:lineRule="auto"/>
        <w:ind w:firstLine="480" w:firstLineChars="200"/>
        <w:rPr>
          <w:color w:val="auto"/>
          <w:highlight w:val="none"/>
        </w:rPr>
      </w:pPr>
      <w:r>
        <w:rPr>
          <w:rFonts w:hint="eastAsia"/>
          <w:color w:val="auto"/>
          <w:highlight w:val="none"/>
        </w:rPr>
        <w:t>（3）投标人的报价均超过了采购预算，采购人不能支付的；</w:t>
      </w:r>
    </w:p>
    <w:p w14:paraId="006CA4BD">
      <w:pPr>
        <w:keepLines w:val="0"/>
        <w:pageBreakBefore w:val="0"/>
        <w:kinsoku/>
        <w:overflowPunct/>
        <w:bidi w:val="0"/>
        <w:spacing w:line="360" w:lineRule="auto"/>
        <w:ind w:firstLine="480" w:firstLineChars="200"/>
        <w:rPr>
          <w:color w:val="auto"/>
          <w:highlight w:val="none"/>
        </w:rPr>
      </w:pPr>
      <w:r>
        <w:rPr>
          <w:rFonts w:hint="eastAsia"/>
          <w:color w:val="auto"/>
          <w:highlight w:val="none"/>
        </w:rPr>
        <w:t>（4）因重大变故，采购任务取消的。</w:t>
      </w:r>
    </w:p>
    <w:p w14:paraId="240B64B0">
      <w:pPr>
        <w:keepLines w:val="0"/>
        <w:pageBreakBefore w:val="0"/>
        <w:kinsoku/>
        <w:overflowPunct/>
        <w:bidi w:val="0"/>
        <w:spacing w:line="360" w:lineRule="auto"/>
        <w:ind w:firstLine="480" w:firstLineChars="200"/>
        <w:rPr>
          <w:color w:val="auto"/>
          <w:highlight w:val="none"/>
        </w:rPr>
      </w:pPr>
      <w:r>
        <w:rPr>
          <w:rFonts w:hint="eastAsia"/>
          <w:color w:val="auto"/>
          <w:highlight w:val="none"/>
        </w:rPr>
        <w:t>废标后，采购代理机构应在“</w:t>
      </w:r>
      <w:r>
        <w:rPr>
          <w:rFonts w:hint="eastAsia"/>
          <w:color w:val="auto"/>
          <w:highlight w:val="none"/>
          <w:lang w:eastAsia="zh-CN"/>
        </w:rPr>
        <w:t>中国政府采购网</w:t>
      </w:r>
      <w:r>
        <w:rPr>
          <w:rFonts w:hint="eastAsia"/>
          <w:color w:val="auto"/>
          <w:highlight w:val="none"/>
        </w:rPr>
        <w:t>”上公告，并公告废标的情形。投标人需要知晓导致废标情形的具体原因和理由的，可以通过书面形式询问招标采购单位。</w:t>
      </w:r>
    </w:p>
    <w:p w14:paraId="362033F2">
      <w:pPr>
        <w:keepLines w:val="0"/>
        <w:pageBreakBefore w:val="0"/>
        <w:kinsoku/>
        <w:overflowPunct/>
        <w:bidi w:val="0"/>
        <w:spacing w:line="360" w:lineRule="auto"/>
        <w:ind w:firstLine="480" w:firstLineChars="200"/>
        <w:rPr>
          <w:color w:val="auto"/>
          <w:highlight w:val="none"/>
        </w:rPr>
      </w:pPr>
      <w:r>
        <w:rPr>
          <w:rFonts w:hint="eastAsia"/>
          <w:color w:val="auto"/>
          <w:highlight w:val="none"/>
        </w:rPr>
        <w:t>5.2对于评标过程中废标的采购项目，评标委员会应当对招标文件是否存在倾向性和歧视性、是否存在不合理条款进行论证，并出具书面论证意见。</w:t>
      </w:r>
    </w:p>
    <w:p w14:paraId="5881879F">
      <w:pPr>
        <w:pStyle w:val="4"/>
        <w:keepLines w:val="0"/>
        <w:pageBreakBefore w:val="0"/>
        <w:kinsoku/>
        <w:overflowPunct/>
        <w:bidi w:val="0"/>
        <w:spacing w:line="360" w:lineRule="auto"/>
        <w:rPr>
          <w:color w:val="auto"/>
          <w:highlight w:val="none"/>
        </w:rPr>
      </w:pPr>
      <w:r>
        <w:rPr>
          <w:rFonts w:hint="eastAsia"/>
          <w:color w:val="auto"/>
          <w:highlight w:val="none"/>
        </w:rPr>
        <w:t>6、定标</w:t>
      </w:r>
      <w:bookmarkEnd w:id="181"/>
      <w:bookmarkStart w:id="182" w:name="_Toc217446061"/>
    </w:p>
    <w:p w14:paraId="18207FB1">
      <w:pPr>
        <w:keepLines w:val="0"/>
        <w:pageBreakBefore w:val="0"/>
        <w:kinsoku/>
        <w:overflowPunct/>
        <w:bidi w:val="0"/>
        <w:spacing w:line="360" w:lineRule="auto"/>
        <w:ind w:firstLine="480" w:firstLineChars="200"/>
        <w:rPr>
          <w:color w:val="auto"/>
          <w:highlight w:val="none"/>
        </w:rPr>
      </w:pPr>
      <w:r>
        <w:rPr>
          <w:rFonts w:hint="eastAsia"/>
          <w:color w:val="auto"/>
          <w:highlight w:val="none"/>
        </w:rPr>
        <w:t>6.1. 定标原则</w:t>
      </w:r>
      <w:bookmarkEnd w:id="182"/>
      <w:r>
        <w:rPr>
          <w:rFonts w:hint="eastAsia"/>
          <w:color w:val="auto"/>
          <w:highlight w:val="none"/>
        </w:rPr>
        <w:t>：本项目根据评标委员会推荐的中标候选供应商名单，按顺序确定</w:t>
      </w:r>
      <w:r>
        <w:rPr>
          <w:rFonts w:hint="eastAsia"/>
          <w:color w:val="auto"/>
          <w:highlight w:val="none"/>
          <w:lang w:eastAsia="zh-CN"/>
        </w:rPr>
        <w:t>中标人</w:t>
      </w:r>
      <w:r>
        <w:rPr>
          <w:rFonts w:hint="eastAsia"/>
          <w:color w:val="auto"/>
          <w:highlight w:val="none"/>
        </w:rPr>
        <w:t>。</w:t>
      </w:r>
    </w:p>
    <w:p w14:paraId="325B0610">
      <w:pPr>
        <w:keepLines w:val="0"/>
        <w:pageBreakBefore w:val="0"/>
        <w:kinsoku/>
        <w:overflowPunct/>
        <w:bidi w:val="0"/>
        <w:spacing w:line="360" w:lineRule="auto"/>
        <w:ind w:firstLine="480" w:firstLineChars="200"/>
        <w:rPr>
          <w:color w:val="auto"/>
          <w:highlight w:val="none"/>
        </w:rPr>
      </w:pPr>
      <w:bookmarkStart w:id="183" w:name="_Toc217446062"/>
      <w:r>
        <w:rPr>
          <w:rFonts w:hint="eastAsia"/>
          <w:color w:val="auto"/>
          <w:highlight w:val="none"/>
        </w:rPr>
        <w:t>6.2. 定标程序</w:t>
      </w:r>
      <w:bookmarkEnd w:id="183"/>
    </w:p>
    <w:p w14:paraId="4D7CE784">
      <w:pPr>
        <w:keepLines w:val="0"/>
        <w:pageBreakBefore w:val="0"/>
        <w:kinsoku/>
        <w:overflowPunct/>
        <w:bidi w:val="0"/>
        <w:spacing w:line="360" w:lineRule="auto"/>
        <w:ind w:firstLine="480" w:firstLineChars="200"/>
        <w:rPr>
          <w:color w:val="auto"/>
          <w:highlight w:val="none"/>
        </w:rPr>
      </w:pPr>
      <w:r>
        <w:rPr>
          <w:rFonts w:hint="eastAsia"/>
          <w:color w:val="auto"/>
          <w:highlight w:val="none"/>
        </w:rPr>
        <w:t>6.2.1 评标委员会将评标情况写出书面报告，推荐中标候选供应商。</w:t>
      </w:r>
    </w:p>
    <w:p w14:paraId="4A1A85D3">
      <w:pPr>
        <w:keepLines w:val="0"/>
        <w:pageBreakBefore w:val="0"/>
        <w:kinsoku/>
        <w:overflowPunct/>
        <w:bidi w:val="0"/>
        <w:spacing w:line="360" w:lineRule="auto"/>
        <w:ind w:firstLine="480" w:firstLineChars="200"/>
        <w:rPr>
          <w:color w:val="auto"/>
          <w:highlight w:val="none"/>
        </w:rPr>
      </w:pPr>
      <w:r>
        <w:rPr>
          <w:rFonts w:hint="eastAsia"/>
          <w:color w:val="auto"/>
          <w:highlight w:val="none"/>
        </w:rPr>
        <w:t>6.2.2 采购代理机构在评标结束之日起2个工作日内将评标报告送采购人。</w:t>
      </w:r>
    </w:p>
    <w:p w14:paraId="77F52AFE">
      <w:pPr>
        <w:keepLines w:val="0"/>
        <w:pageBreakBefore w:val="0"/>
        <w:kinsoku/>
        <w:overflowPunct/>
        <w:bidi w:val="0"/>
        <w:spacing w:line="360" w:lineRule="auto"/>
        <w:ind w:firstLine="480" w:firstLineChars="200"/>
        <w:rPr>
          <w:color w:val="auto"/>
          <w:highlight w:val="none"/>
        </w:rPr>
      </w:pPr>
      <w:r>
        <w:rPr>
          <w:rFonts w:hint="eastAsia"/>
          <w:color w:val="auto"/>
          <w:highlight w:val="none"/>
        </w:rPr>
        <w:t>6.2.3 采购人在收到评标报告之日起5个工作日内，按照评标报告中推荐的中标候选供应商顺序确定</w:t>
      </w:r>
      <w:r>
        <w:rPr>
          <w:rFonts w:hint="eastAsia"/>
          <w:color w:val="auto"/>
          <w:highlight w:val="none"/>
          <w:lang w:eastAsia="zh-CN"/>
        </w:rPr>
        <w:t>中标人</w:t>
      </w:r>
      <w:r>
        <w:rPr>
          <w:rFonts w:hint="eastAsia"/>
          <w:color w:val="auto"/>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优先选择不发达地区和少数民族地区的投标人；报价相同且满足招标文件全部实质性要求且按照评审因素的量化指标评审得分也相同无投标人均属于不发达地区和少数民族地区的或投标人均属于不发达地区和少数民族地区，由采购人自主采取公平、择优的方式选择</w:t>
      </w:r>
      <w:r>
        <w:rPr>
          <w:rFonts w:hint="eastAsia"/>
          <w:color w:val="auto"/>
          <w:highlight w:val="none"/>
          <w:lang w:eastAsia="zh-CN"/>
        </w:rPr>
        <w:t>中标人</w:t>
      </w:r>
      <w:r>
        <w:rPr>
          <w:rFonts w:hint="eastAsia"/>
          <w:color w:val="auto"/>
          <w:highlight w:val="none"/>
        </w:rPr>
        <w:t>。</w:t>
      </w:r>
    </w:p>
    <w:p w14:paraId="248A1028">
      <w:pPr>
        <w:keepLines w:val="0"/>
        <w:pageBreakBefore w:val="0"/>
        <w:kinsoku/>
        <w:overflowPunct/>
        <w:bidi w:val="0"/>
        <w:spacing w:line="360" w:lineRule="auto"/>
        <w:ind w:firstLine="482" w:firstLineChars="200"/>
        <w:rPr>
          <w:b/>
          <w:color w:val="auto"/>
          <w:highlight w:val="none"/>
        </w:rPr>
      </w:pPr>
      <w:r>
        <w:rPr>
          <w:rFonts w:hint="eastAsia"/>
          <w:b/>
          <w:color w:val="auto"/>
          <w:highlight w:val="none"/>
        </w:rPr>
        <w:t>6.2.4 中标公告期限为1个工作日。</w:t>
      </w:r>
    </w:p>
    <w:p w14:paraId="3371E027">
      <w:pPr>
        <w:keepLines w:val="0"/>
        <w:pageBreakBefore w:val="0"/>
        <w:kinsoku/>
        <w:overflowPunct/>
        <w:bidi w:val="0"/>
        <w:spacing w:line="360" w:lineRule="auto"/>
        <w:ind w:firstLine="480" w:firstLineChars="200"/>
        <w:rPr>
          <w:color w:val="auto"/>
          <w:highlight w:val="none"/>
        </w:rPr>
      </w:pPr>
      <w:r>
        <w:rPr>
          <w:rFonts w:hint="eastAsia"/>
          <w:color w:val="auto"/>
          <w:highlight w:val="none"/>
        </w:rPr>
        <w:t>6.2.5 根据采购人确定的</w:t>
      </w:r>
      <w:r>
        <w:rPr>
          <w:rFonts w:hint="eastAsia"/>
          <w:color w:val="auto"/>
          <w:highlight w:val="none"/>
          <w:lang w:eastAsia="zh-CN"/>
        </w:rPr>
        <w:t>中标人</w:t>
      </w:r>
      <w:r>
        <w:rPr>
          <w:rFonts w:hint="eastAsia"/>
          <w:color w:val="auto"/>
          <w:highlight w:val="none"/>
        </w:rPr>
        <w:t>，采购代理机构在“</w:t>
      </w:r>
      <w:r>
        <w:rPr>
          <w:rFonts w:hint="eastAsia"/>
          <w:color w:val="auto"/>
          <w:highlight w:val="none"/>
          <w:lang w:eastAsia="zh-CN"/>
        </w:rPr>
        <w:t>中国政府采购网</w:t>
      </w:r>
      <w:r>
        <w:rPr>
          <w:rFonts w:hint="eastAsia"/>
          <w:color w:val="auto"/>
          <w:highlight w:val="none"/>
        </w:rPr>
        <w:t>”上发布中标公告，并自采购人确定中标之日起2个工作日内向</w:t>
      </w:r>
      <w:r>
        <w:rPr>
          <w:rFonts w:hint="eastAsia"/>
          <w:color w:val="auto"/>
          <w:highlight w:val="none"/>
          <w:lang w:eastAsia="zh-CN"/>
        </w:rPr>
        <w:t>中标人</w:t>
      </w:r>
      <w:r>
        <w:rPr>
          <w:rFonts w:hint="eastAsia"/>
          <w:color w:val="auto"/>
          <w:highlight w:val="none"/>
        </w:rPr>
        <w:t>发出中标通知书。</w:t>
      </w:r>
    </w:p>
    <w:p w14:paraId="7108A7E5">
      <w:pPr>
        <w:keepLines w:val="0"/>
        <w:pageBreakBefore w:val="0"/>
        <w:kinsoku/>
        <w:overflowPunct/>
        <w:bidi w:val="0"/>
        <w:spacing w:line="360" w:lineRule="auto"/>
        <w:ind w:firstLine="480" w:firstLineChars="200"/>
        <w:rPr>
          <w:color w:val="auto"/>
          <w:highlight w:val="none"/>
        </w:rPr>
      </w:pPr>
      <w:r>
        <w:rPr>
          <w:rFonts w:hint="eastAsia"/>
          <w:color w:val="auto"/>
          <w:highlight w:val="none"/>
        </w:rPr>
        <w:t>6.2.6 招标采购单位不退回投标人投标文件和其他投标资料。</w:t>
      </w:r>
    </w:p>
    <w:p w14:paraId="2221971C">
      <w:pPr>
        <w:pStyle w:val="4"/>
        <w:keepLines w:val="0"/>
        <w:pageBreakBefore w:val="0"/>
        <w:kinsoku/>
        <w:overflowPunct/>
        <w:bidi w:val="0"/>
        <w:spacing w:line="360" w:lineRule="auto"/>
        <w:rPr>
          <w:color w:val="auto"/>
          <w:highlight w:val="none"/>
        </w:rPr>
      </w:pPr>
      <w:bookmarkStart w:id="184" w:name="_Toc217446105"/>
      <w:bookmarkStart w:id="185" w:name="_Toc183682432"/>
      <w:bookmarkStart w:id="186" w:name="_Toc183582297"/>
      <w:bookmarkStart w:id="187" w:name="_Toc208849022"/>
      <w:r>
        <w:rPr>
          <w:rFonts w:hint="eastAsia"/>
          <w:color w:val="auto"/>
          <w:highlight w:val="none"/>
        </w:rPr>
        <w:t xml:space="preserve">7. </w:t>
      </w:r>
      <w:bookmarkEnd w:id="184"/>
      <w:bookmarkEnd w:id="185"/>
      <w:bookmarkEnd w:id="186"/>
      <w:bookmarkEnd w:id="187"/>
      <w:r>
        <w:rPr>
          <w:rFonts w:hint="eastAsia"/>
          <w:color w:val="auto"/>
          <w:highlight w:val="none"/>
        </w:rPr>
        <w:t>评标专家在</w:t>
      </w:r>
      <w:r>
        <w:rPr>
          <w:rFonts w:hint="eastAsia"/>
          <w:color w:val="auto"/>
          <w:highlight w:val="none"/>
          <w:lang w:eastAsia="zh-CN"/>
        </w:rPr>
        <w:t>采购活动</w:t>
      </w:r>
      <w:r>
        <w:rPr>
          <w:rFonts w:hint="eastAsia"/>
          <w:color w:val="auto"/>
          <w:highlight w:val="none"/>
        </w:rPr>
        <w:t>中承担以下义务：</w:t>
      </w:r>
    </w:p>
    <w:p w14:paraId="0196CDB0">
      <w:pPr>
        <w:keepLines w:val="0"/>
        <w:pageBreakBefore w:val="0"/>
        <w:kinsoku/>
        <w:overflowPunct/>
        <w:bidi w:val="0"/>
        <w:spacing w:line="360" w:lineRule="auto"/>
        <w:ind w:firstLine="480" w:firstLineChars="200"/>
        <w:rPr>
          <w:color w:val="auto"/>
          <w:highlight w:val="none"/>
        </w:rPr>
      </w:pPr>
      <w:r>
        <w:rPr>
          <w:rFonts w:hint="eastAsia"/>
          <w:color w:val="auto"/>
          <w:highlight w:val="none"/>
        </w:rPr>
        <w:t xml:space="preserve">（一）遵守评审工作纪律； </w:t>
      </w:r>
    </w:p>
    <w:p w14:paraId="23018359">
      <w:pPr>
        <w:keepLines w:val="0"/>
        <w:pageBreakBefore w:val="0"/>
        <w:kinsoku/>
        <w:overflowPunct/>
        <w:bidi w:val="0"/>
        <w:spacing w:line="360" w:lineRule="auto"/>
        <w:ind w:firstLine="480" w:firstLineChars="200"/>
        <w:rPr>
          <w:color w:val="auto"/>
          <w:highlight w:val="none"/>
        </w:rPr>
      </w:pPr>
      <w:r>
        <w:rPr>
          <w:rFonts w:hint="eastAsia"/>
          <w:color w:val="auto"/>
          <w:highlight w:val="none"/>
        </w:rPr>
        <w:t>（二）按照客观、公正、审慎的原则，根据采购文件规定的评审程序、评审方法和评审标准进行独立评审；</w:t>
      </w:r>
    </w:p>
    <w:p w14:paraId="798DF674">
      <w:pPr>
        <w:keepLines w:val="0"/>
        <w:pageBreakBefore w:val="0"/>
        <w:kinsoku/>
        <w:overflowPunct/>
        <w:bidi w:val="0"/>
        <w:spacing w:line="360" w:lineRule="auto"/>
        <w:ind w:firstLine="480" w:firstLineChars="200"/>
        <w:rPr>
          <w:color w:val="auto"/>
          <w:highlight w:val="none"/>
        </w:rPr>
      </w:pPr>
      <w:r>
        <w:rPr>
          <w:rFonts w:hint="eastAsia"/>
          <w:color w:val="auto"/>
          <w:highlight w:val="none"/>
        </w:rPr>
        <w:t>（三）不得泄露评审文件、评审情况和在评审过程中获悉的商业秘密；</w:t>
      </w:r>
    </w:p>
    <w:p w14:paraId="1EDF35F2">
      <w:pPr>
        <w:keepLines w:val="0"/>
        <w:pageBreakBefore w:val="0"/>
        <w:kinsoku/>
        <w:overflowPunct/>
        <w:bidi w:val="0"/>
        <w:spacing w:line="360" w:lineRule="auto"/>
        <w:ind w:firstLine="480" w:firstLineChars="200"/>
        <w:rPr>
          <w:color w:val="auto"/>
          <w:highlight w:val="none"/>
        </w:rPr>
      </w:pPr>
      <w:r>
        <w:rPr>
          <w:rFonts w:hint="eastAsia"/>
          <w:color w:val="auto"/>
          <w:highlight w:val="none"/>
        </w:rPr>
        <w:t>（四）及时向监督部门报告评审过程中采购组织单位向评审专家做倾向性、误导性的解释或者说明，供应商行贿、提供虚假材料或者串通、受到的非法干预情况等违法违规行为；</w:t>
      </w:r>
    </w:p>
    <w:p w14:paraId="57482C71">
      <w:pPr>
        <w:keepLines w:val="0"/>
        <w:pageBreakBefore w:val="0"/>
        <w:kinsoku/>
        <w:overflowPunct/>
        <w:bidi w:val="0"/>
        <w:spacing w:line="360" w:lineRule="auto"/>
        <w:ind w:firstLine="480" w:firstLineChars="200"/>
        <w:rPr>
          <w:color w:val="auto"/>
          <w:highlight w:val="none"/>
        </w:rPr>
      </w:pPr>
      <w:r>
        <w:rPr>
          <w:rFonts w:hint="eastAsia"/>
          <w:color w:val="auto"/>
          <w:highlight w:val="none"/>
        </w:rPr>
        <w:t>（五）发现采购文件内容违反国家有关强制性规定或者存在歧义、重大缺陷导致评审工作无法进行时，停止评审并向采购组织单位书面说明情况；</w:t>
      </w:r>
    </w:p>
    <w:p w14:paraId="370F4B21">
      <w:pPr>
        <w:keepLines w:val="0"/>
        <w:pageBreakBefore w:val="0"/>
        <w:kinsoku/>
        <w:overflowPunct/>
        <w:bidi w:val="0"/>
        <w:spacing w:line="360" w:lineRule="auto"/>
        <w:ind w:firstLine="480" w:firstLineChars="200"/>
        <w:rPr>
          <w:color w:val="auto"/>
          <w:highlight w:val="none"/>
        </w:rPr>
      </w:pPr>
      <w:r>
        <w:rPr>
          <w:rFonts w:hint="eastAsia"/>
          <w:color w:val="auto"/>
          <w:highlight w:val="none"/>
        </w:rPr>
        <w:t>（六）配合答复处理供应商的询问、质疑和投诉等事项；</w:t>
      </w:r>
    </w:p>
    <w:p w14:paraId="7CBB1A00">
      <w:pPr>
        <w:keepLines w:val="0"/>
        <w:pageBreakBefore w:val="0"/>
        <w:kinsoku/>
        <w:overflowPunct/>
        <w:bidi w:val="0"/>
        <w:spacing w:line="360" w:lineRule="auto"/>
        <w:ind w:firstLine="480" w:firstLineChars="200"/>
        <w:rPr>
          <w:color w:val="auto"/>
          <w:highlight w:val="none"/>
        </w:rPr>
      </w:pPr>
      <w:r>
        <w:rPr>
          <w:rFonts w:hint="eastAsia"/>
          <w:color w:val="auto"/>
          <w:highlight w:val="none"/>
        </w:rPr>
        <w:t>（七）法律、法规和规章规定的其他义务。</w:t>
      </w:r>
    </w:p>
    <w:p w14:paraId="0B5D9BA7">
      <w:pPr>
        <w:pStyle w:val="4"/>
        <w:keepLines w:val="0"/>
        <w:pageBreakBefore w:val="0"/>
        <w:kinsoku/>
        <w:overflowPunct/>
        <w:bidi w:val="0"/>
        <w:spacing w:line="360" w:lineRule="auto"/>
        <w:rPr>
          <w:color w:val="auto"/>
          <w:highlight w:val="none"/>
        </w:rPr>
      </w:pPr>
      <w:r>
        <w:rPr>
          <w:rFonts w:hint="eastAsia"/>
          <w:color w:val="auto"/>
          <w:highlight w:val="none"/>
        </w:rPr>
        <w:t>8.评标专家在</w:t>
      </w:r>
      <w:r>
        <w:rPr>
          <w:rFonts w:hint="eastAsia"/>
          <w:color w:val="auto"/>
          <w:highlight w:val="none"/>
          <w:lang w:eastAsia="zh-CN"/>
        </w:rPr>
        <w:t>采购活动</w:t>
      </w:r>
      <w:r>
        <w:rPr>
          <w:rFonts w:hint="eastAsia"/>
          <w:color w:val="auto"/>
          <w:highlight w:val="none"/>
        </w:rPr>
        <w:t>中应当遵守以下工作纪律：</w:t>
      </w:r>
    </w:p>
    <w:p w14:paraId="55D6C351">
      <w:pPr>
        <w:keepLines w:val="0"/>
        <w:pageBreakBefore w:val="0"/>
        <w:kinsoku/>
        <w:overflowPunct/>
        <w:bidi w:val="0"/>
        <w:spacing w:line="360" w:lineRule="auto"/>
        <w:ind w:firstLine="480" w:firstLineChars="200"/>
        <w:rPr>
          <w:color w:val="auto"/>
          <w:highlight w:val="none"/>
        </w:rPr>
      </w:pPr>
      <w:r>
        <w:rPr>
          <w:rFonts w:hint="eastAsia"/>
          <w:color w:val="auto"/>
          <w:highlight w:val="none"/>
        </w:rPr>
        <w:t xml:space="preserve">（一）遵行《中华人民共和国政府采购法》第十二条和《中华人民共和国政府采购法实施条例》第九条及其他相关法律法规规定的利害关系的政府采购项目的评审活动。发现参加了与自己有利害关系的评审活动，须主动提出回避，退出评审； </w:t>
      </w:r>
    </w:p>
    <w:p w14:paraId="5725C237">
      <w:pPr>
        <w:keepLines w:val="0"/>
        <w:pageBreakBefore w:val="0"/>
        <w:kinsoku/>
        <w:overflowPunct/>
        <w:bidi w:val="0"/>
        <w:spacing w:line="360" w:lineRule="auto"/>
        <w:ind w:firstLine="480" w:firstLineChars="200"/>
        <w:rPr>
          <w:color w:val="auto"/>
          <w:highlight w:val="none"/>
        </w:rPr>
      </w:pPr>
      <w:r>
        <w:rPr>
          <w:rFonts w:hint="eastAsia"/>
          <w:color w:val="auto"/>
          <w:highlight w:val="none"/>
        </w:rPr>
        <w:t>（二）评审前，应当将通讯工具或者相关电子设备交由采购组织单位统一保管。</w:t>
      </w:r>
    </w:p>
    <w:p w14:paraId="1D4BFCFA">
      <w:pPr>
        <w:keepLines w:val="0"/>
        <w:pageBreakBefore w:val="0"/>
        <w:kinsoku/>
        <w:overflowPunct/>
        <w:bidi w:val="0"/>
        <w:spacing w:line="360" w:lineRule="auto"/>
        <w:ind w:firstLine="480" w:firstLineChars="200"/>
        <w:rPr>
          <w:color w:val="auto"/>
          <w:highlight w:val="none"/>
        </w:rPr>
      </w:pPr>
      <w:r>
        <w:rPr>
          <w:rFonts w:hint="eastAsia"/>
          <w:color w:val="auto"/>
          <w:highlight w:val="none"/>
        </w:rPr>
        <w:t>（三）评审过程中，不得与外界联系，因发生不可预见情况，确实需要与外界联系的，应当在监督人员监督之下办理。</w:t>
      </w:r>
    </w:p>
    <w:p w14:paraId="385663A1">
      <w:pPr>
        <w:keepLines w:val="0"/>
        <w:pageBreakBefore w:val="0"/>
        <w:kinsoku/>
        <w:overflowPunct/>
        <w:bidi w:val="0"/>
        <w:spacing w:line="360" w:lineRule="auto"/>
        <w:ind w:firstLine="480" w:firstLineChars="200"/>
        <w:rPr>
          <w:color w:val="auto"/>
          <w:highlight w:val="none"/>
        </w:rPr>
      </w:pPr>
      <w:r>
        <w:rPr>
          <w:rFonts w:hint="eastAsia"/>
          <w:color w:val="auto"/>
          <w:highlight w:val="none"/>
        </w:rPr>
        <w:t>（四）评审过程中，不得干预或者影响正常评审工作，不得发表倾向性、引导性意见，不得修改或细化采购文件确定的评审程序、评审方法、评审因素和评审标准，不得接受供应商主动提出的澄清和解释，不得征询采购人代表的意见，不得协商评分，不得违反规定的评审格式评分和撰写评审意见，不得拒绝对自己的评审意见签字确认。</w:t>
      </w:r>
    </w:p>
    <w:p w14:paraId="00923D08">
      <w:pPr>
        <w:keepLines w:val="0"/>
        <w:pageBreakBefore w:val="0"/>
        <w:kinsoku/>
        <w:overflowPunct/>
        <w:bidi w:val="0"/>
        <w:spacing w:line="360" w:lineRule="auto"/>
        <w:ind w:firstLine="480" w:firstLineChars="200"/>
        <w:rPr>
          <w:color w:val="auto"/>
          <w:highlight w:val="none"/>
        </w:rPr>
      </w:pPr>
      <w:r>
        <w:rPr>
          <w:rFonts w:hint="eastAsia"/>
          <w:color w:val="auto"/>
          <w:highlight w:val="none"/>
        </w:rPr>
        <w:t>（五）在评审过程中和评审结束后，不得记录、复制或带走任何评审资料，除因规定的义务，不得向外界透露评审内容。</w:t>
      </w:r>
    </w:p>
    <w:p w14:paraId="2F6AE75F">
      <w:pPr>
        <w:keepLines w:val="0"/>
        <w:pageBreakBefore w:val="0"/>
        <w:kinsoku/>
        <w:overflowPunct/>
        <w:bidi w:val="0"/>
        <w:spacing w:line="360" w:lineRule="auto"/>
        <w:ind w:firstLine="480" w:firstLineChars="200"/>
        <w:rPr>
          <w:color w:val="auto"/>
          <w:highlight w:val="none"/>
        </w:rPr>
      </w:pPr>
      <w:r>
        <w:rPr>
          <w:rFonts w:hint="eastAsia"/>
          <w:color w:val="auto"/>
          <w:highlight w:val="none"/>
        </w:rPr>
        <w:t>（六）服从评审现场采购组织单位的现场秩序管理，接受评审现场监督人员的合法监督。</w:t>
      </w:r>
    </w:p>
    <w:p w14:paraId="5F44BEB1">
      <w:pPr>
        <w:keepLines w:val="0"/>
        <w:pageBreakBefore w:val="0"/>
        <w:kinsoku/>
        <w:overflowPunct/>
        <w:bidi w:val="0"/>
        <w:spacing w:line="360" w:lineRule="auto"/>
        <w:ind w:firstLine="480" w:firstLineChars="200"/>
        <w:rPr>
          <w:color w:val="auto"/>
          <w:highlight w:val="none"/>
        </w:rPr>
      </w:pPr>
      <w:r>
        <w:rPr>
          <w:rFonts w:hint="eastAsia"/>
          <w:color w:val="auto"/>
          <w:highlight w:val="none"/>
        </w:rPr>
        <w:t>（七）遵守有关廉洁自律规定，不得私下接触供应商，不得收受供应商及有关业务单位和个人的财物或好处，不得接受采购组织单位的请托。</w:t>
      </w:r>
    </w:p>
    <w:p w14:paraId="0497F934">
      <w:pPr>
        <w:keepLines w:val="0"/>
        <w:pageBreakBefore w:val="0"/>
        <w:kinsoku/>
        <w:overflowPunct/>
        <w:bidi w:val="0"/>
        <w:spacing w:line="360" w:lineRule="auto"/>
        <w:ind w:firstLine="480" w:firstLineChars="200"/>
        <w:rPr>
          <w:color w:val="auto"/>
          <w:highlight w:val="none"/>
        </w:rPr>
      </w:pPr>
      <w:r>
        <w:rPr>
          <w:rFonts w:hint="eastAsia"/>
          <w:color w:val="auto"/>
          <w:highlight w:val="none"/>
        </w:rPr>
        <w:t>（八）评标委员会成员应遵守有关法律法规，严守有关保密规定和评标纪律，并在评标前书面签署承诺书。</w:t>
      </w:r>
    </w:p>
    <w:p w14:paraId="31F25810">
      <w:pPr>
        <w:keepLines w:val="0"/>
        <w:pageBreakBefore w:val="0"/>
        <w:kinsoku/>
        <w:overflowPunct/>
        <w:bidi w:val="0"/>
        <w:spacing w:line="360" w:lineRule="auto"/>
        <w:ind w:firstLine="480" w:firstLineChars="200"/>
        <w:rPr>
          <w:color w:val="auto"/>
          <w:highlight w:val="none"/>
        </w:rPr>
      </w:pPr>
      <w:r>
        <w:rPr>
          <w:rFonts w:hint="eastAsia"/>
          <w:color w:val="auto"/>
          <w:highlight w:val="none"/>
        </w:rPr>
        <w:t>（九）评标委员会成员在评标过程中不得擅离职守。</w:t>
      </w:r>
    </w:p>
    <w:p w14:paraId="260E5126">
      <w:pPr>
        <w:keepLines w:val="0"/>
        <w:pageBreakBefore w:val="0"/>
        <w:kinsoku/>
        <w:overflowPunct/>
        <w:bidi w:val="0"/>
        <w:spacing w:line="360" w:lineRule="auto"/>
        <w:ind w:firstLine="480" w:firstLineChars="200"/>
        <w:rPr>
          <w:rFonts w:hint="eastAsia"/>
          <w:color w:val="auto"/>
          <w:highlight w:val="none"/>
        </w:rPr>
        <w:sectPr>
          <w:headerReference r:id="rId49" w:type="first"/>
          <w:footerReference r:id="rId50" w:type="first"/>
          <w:pgSz w:w="11907" w:h="16840"/>
          <w:pgMar w:top="1440" w:right="1080" w:bottom="1440" w:left="1080" w:header="851" w:footer="992" w:gutter="0"/>
          <w:pgBorders>
            <w:top w:val="none" w:sz="0" w:space="0"/>
            <w:left w:val="none" w:sz="0" w:space="0"/>
            <w:bottom w:val="none" w:sz="0" w:space="0"/>
            <w:right w:val="none" w:sz="0" w:space="0"/>
          </w:pgBorders>
          <w:pgNumType w:fmt="decimal"/>
          <w:cols w:space="720" w:num="1"/>
          <w:titlePg/>
          <w:docGrid w:linePitch="326" w:charSpace="0"/>
        </w:sectPr>
      </w:pPr>
      <w:r>
        <w:rPr>
          <w:rFonts w:hint="eastAsia"/>
          <w:color w:val="auto"/>
          <w:highlight w:val="none"/>
        </w:rPr>
        <w:t>（十）评标委员会成员按规定领取评审劳务报酬，并按国家相关规定完成所得税的申报缴纳。</w:t>
      </w:r>
    </w:p>
    <w:p w14:paraId="3C921DDF">
      <w:pPr>
        <w:pStyle w:val="2"/>
        <w:keepLines w:val="0"/>
        <w:pageBreakBefore w:val="0"/>
        <w:kinsoku/>
        <w:overflowPunct/>
        <w:bidi w:val="0"/>
        <w:spacing w:line="360" w:lineRule="auto"/>
        <w:jc w:val="center"/>
        <w:rPr>
          <w:rFonts w:hint="eastAsia" w:ascii="Cambria" w:hAnsi="Cambria" w:eastAsia="宋体" w:cs="Times New Roman"/>
          <w:b/>
          <w:bCs/>
          <w:color w:val="auto"/>
          <w:kern w:val="32"/>
          <w:sz w:val="32"/>
          <w:szCs w:val="32"/>
          <w:highlight w:val="none"/>
          <w:lang w:val="en-US" w:eastAsia="zh-CN" w:bidi="ar-SA"/>
        </w:rPr>
      </w:pPr>
      <w:bookmarkStart w:id="188" w:name="_Toc19775"/>
      <w:bookmarkStart w:id="189" w:name="_Toc17147"/>
      <w:bookmarkStart w:id="190" w:name="_Toc14473"/>
      <w:r>
        <w:rPr>
          <w:rFonts w:hint="eastAsia" w:ascii="Cambria" w:hAnsi="Cambria" w:eastAsia="宋体" w:cs="Times New Roman"/>
          <w:b/>
          <w:bCs/>
          <w:color w:val="auto"/>
          <w:kern w:val="32"/>
          <w:sz w:val="32"/>
          <w:szCs w:val="32"/>
          <w:highlight w:val="none"/>
          <w:lang w:val="en-US" w:eastAsia="zh-CN" w:bidi="ar-SA"/>
        </w:rPr>
        <w:t xml:space="preserve">第八章 </w:t>
      </w:r>
      <w:bookmarkEnd w:id="188"/>
      <w:bookmarkEnd w:id="189"/>
      <w:bookmarkStart w:id="191" w:name="_Toc15803"/>
      <w:bookmarkStart w:id="192" w:name="_Toc30589"/>
      <w:r>
        <w:rPr>
          <w:rFonts w:hint="eastAsia" w:cs="Times New Roman"/>
          <w:b/>
          <w:bCs/>
          <w:color w:val="auto"/>
          <w:kern w:val="32"/>
          <w:sz w:val="32"/>
          <w:szCs w:val="32"/>
          <w:highlight w:val="none"/>
          <w:lang w:val="en-US" w:eastAsia="zh-CN" w:bidi="ar-SA"/>
        </w:rPr>
        <w:t>采购合同</w:t>
      </w:r>
      <w:r>
        <w:rPr>
          <w:rFonts w:hint="eastAsia" w:ascii="Cambria" w:hAnsi="Cambria" w:eastAsia="宋体" w:cs="Times New Roman"/>
          <w:b/>
          <w:bCs/>
          <w:color w:val="auto"/>
          <w:kern w:val="32"/>
          <w:sz w:val="32"/>
          <w:szCs w:val="32"/>
          <w:highlight w:val="none"/>
          <w:lang w:val="en-US" w:eastAsia="zh-CN" w:bidi="ar-SA"/>
        </w:rPr>
        <w:t>（草案）</w:t>
      </w:r>
      <w:bookmarkEnd w:id="190"/>
    </w:p>
    <w:bookmarkEnd w:id="191"/>
    <w:bookmarkEnd w:id="192"/>
    <w:p w14:paraId="2254EEE1">
      <w:pPr>
        <w:keepNext w:val="0"/>
        <w:keepLines w:val="0"/>
        <w:pageBreakBefore w:val="0"/>
        <w:widowControl w:val="0"/>
        <w:kinsoku/>
        <w:wordWrap/>
        <w:overflowPunct w:val="0"/>
        <w:topLinePunct w:val="0"/>
        <w:autoSpaceDE/>
        <w:autoSpaceDN/>
        <w:bidi w:val="0"/>
        <w:adjustRightInd/>
        <w:snapToGrid/>
        <w:spacing w:line="360" w:lineRule="auto"/>
        <w:ind w:left="0" w:right="0" w:firstLine="0" w:firstLineChars="0"/>
        <w:jc w:val="center"/>
        <w:textAlignment w:val="baseline"/>
        <w:outlineLvl w:val="9"/>
        <w:rPr>
          <w:rFonts w:hint="eastAsia" w:ascii="宋体" w:hAnsi="宋体" w:eastAsia="宋体" w:cs="宋体"/>
          <w:b/>
          <w:bCs/>
          <w:snapToGrid w:val="0"/>
          <w:color w:val="000000"/>
          <w:spacing w:val="0"/>
          <w:w w:val="100"/>
          <w:kern w:val="0"/>
          <w:sz w:val="32"/>
          <w:szCs w:val="32"/>
          <w:lang w:eastAsia="en-US"/>
        </w:rPr>
      </w:pPr>
      <w:r>
        <w:rPr>
          <w:rFonts w:hint="eastAsia" w:ascii="宋体" w:hAnsi="宋体" w:eastAsia="宋体" w:cs="宋体"/>
          <w:b/>
          <w:bCs/>
          <w:snapToGrid w:val="0"/>
          <w:color w:val="000000"/>
          <w:spacing w:val="0"/>
          <w:w w:val="100"/>
          <w:kern w:val="0"/>
          <w:sz w:val="32"/>
          <w:szCs w:val="32"/>
          <w:lang w:eastAsia="en-US"/>
        </w:rPr>
        <w:t>采购合同</w:t>
      </w:r>
    </w:p>
    <w:p w14:paraId="1EC725BE">
      <w:pPr>
        <w:keepNext w:val="0"/>
        <w:keepLines w:val="0"/>
        <w:pageBreakBefore w:val="0"/>
        <w:widowControl w:val="0"/>
        <w:kinsoku/>
        <w:wordWrap/>
        <w:overflowPunct w:val="0"/>
        <w:topLinePunct w:val="0"/>
        <w:autoSpaceDE/>
        <w:autoSpaceDN/>
        <w:bidi w:val="0"/>
        <w:adjustRightInd/>
        <w:snapToGrid/>
        <w:spacing w:line="360" w:lineRule="auto"/>
        <w:ind w:left="0" w:right="0" w:firstLine="0" w:firstLineChars="0"/>
        <w:jc w:val="center"/>
        <w:textAlignment w:val="baseline"/>
        <w:outlineLvl w:val="9"/>
        <w:rPr>
          <w:rFonts w:hint="eastAsia" w:ascii="宋体" w:hAnsi="宋体" w:eastAsia="宋体" w:cs="宋体"/>
          <w:b/>
          <w:bCs/>
          <w:snapToGrid w:val="0"/>
          <w:color w:val="000000"/>
          <w:spacing w:val="0"/>
          <w:w w:val="100"/>
          <w:kern w:val="0"/>
          <w:sz w:val="32"/>
          <w:szCs w:val="32"/>
          <w:lang w:eastAsia="en-US"/>
        </w:rPr>
      </w:pPr>
    </w:p>
    <w:p w14:paraId="4DEF3DD2">
      <w:pPr>
        <w:keepNext w:val="0"/>
        <w:keepLines w:val="0"/>
        <w:pageBreakBefore w:val="0"/>
        <w:widowControl w:val="0"/>
        <w:kinsoku/>
        <w:wordWrap/>
        <w:overflowPunct w:val="0"/>
        <w:topLinePunct w:val="0"/>
        <w:autoSpaceDE/>
        <w:autoSpaceDN/>
        <w:bidi w:val="0"/>
        <w:adjustRightInd/>
        <w:snapToGrid/>
        <w:spacing w:line="360" w:lineRule="auto"/>
        <w:ind w:left="0" w:right="0" w:firstLine="482"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b/>
          <w:bCs/>
          <w:snapToGrid w:val="0"/>
          <w:color w:val="000000"/>
          <w:spacing w:val="0"/>
          <w:w w:val="100"/>
          <w:kern w:val="0"/>
          <w:sz w:val="24"/>
          <w:szCs w:val="24"/>
          <w:lang w:eastAsia="en-US"/>
        </w:rPr>
        <w:t>合同编号：</w:t>
      </w:r>
      <w:r>
        <w:rPr>
          <w:rFonts w:hint="eastAsia" w:ascii="宋体" w:hAnsi="宋体" w:eastAsia="宋体" w:cs="宋体"/>
          <w:snapToGrid w:val="0"/>
          <w:color w:val="000000"/>
          <w:spacing w:val="0"/>
          <w:w w:val="100"/>
          <w:kern w:val="0"/>
          <w:sz w:val="24"/>
          <w:szCs w:val="24"/>
          <w:lang w:eastAsia="en-US"/>
        </w:rPr>
        <w:t>XXXX。</w:t>
      </w:r>
    </w:p>
    <w:p w14:paraId="59184082">
      <w:pPr>
        <w:keepNext w:val="0"/>
        <w:keepLines w:val="0"/>
        <w:pageBreakBefore w:val="0"/>
        <w:widowControl w:val="0"/>
        <w:kinsoku/>
        <w:wordWrap/>
        <w:overflowPunct w:val="0"/>
        <w:topLinePunct w:val="0"/>
        <w:autoSpaceDE/>
        <w:autoSpaceDN/>
        <w:bidi w:val="0"/>
        <w:adjustRightInd/>
        <w:snapToGrid/>
        <w:spacing w:line="360" w:lineRule="auto"/>
        <w:ind w:left="0" w:right="0" w:firstLine="482"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b/>
          <w:bCs/>
          <w:snapToGrid w:val="0"/>
          <w:color w:val="000000"/>
          <w:spacing w:val="0"/>
          <w:w w:val="100"/>
          <w:kern w:val="0"/>
          <w:sz w:val="24"/>
          <w:szCs w:val="24"/>
          <w:lang w:eastAsia="en-US"/>
        </w:rPr>
        <w:t>签订地点：</w:t>
      </w:r>
      <w:r>
        <w:rPr>
          <w:rFonts w:hint="eastAsia" w:ascii="宋体" w:hAnsi="宋体" w:eastAsia="宋体" w:cs="宋体"/>
          <w:snapToGrid w:val="0"/>
          <w:color w:val="000000"/>
          <w:spacing w:val="0"/>
          <w:w w:val="100"/>
          <w:kern w:val="0"/>
          <w:sz w:val="24"/>
          <w:szCs w:val="24"/>
          <w:lang w:eastAsia="en-US"/>
        </w:rPr>
        <w:t>XXXX。</w:t>
      </w:r>
    </w:p>
    <w:p w14:paraId="426CE5A9">
      <w:pPr>
        <w:keepNext w:val="0"/>
        <w:keepLines w:val="0"/>
        <w:pageBreakBefore w:val="0"/>
        <w:widowControl w:val="0"/>
        <w:kinsoku/>
        <w:wordWrap/>
        <w:overflowPunct w:val="0"/>
        <w:topLinePunct w:val="0"/>
        <w:autoSpaceDE/>
        <w:autoSpaceDN/>
        <w:bidi w:val="0"/>
        <w:adjustRightInd/>
        <w:snapToGrid/>
        <w:spacing w:line="360" w:lineRule="auto"/>
        <w:ind w:left="0" w:right="0" w:firstLine="482"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b/>
          <w:bCs/>
          <w:snapToGrid w:val="0"/>
          <w:color w:val="000000"/>
          <w:spacing w:val="0"/>
          <w:w w:val="100"/>
          <w:kern w:val="0"/>
          <w:sz w:val="24"/>
          <w:szCs w:val="24"/>
          <w:lang w:eastAsia="en-US"/>
        </w:rPr>
        <w:t>签订时间：</w:t>
      </w:r>
      <w:r>
        <w:rPr>
          <w:rFonts w:hint="eastAsia" w:ascii="宋体" w:hAnsi="宋体" w:eastAsia="宋体" w:cs="宋体"/>
          <w:snapToGrid w:val="0"/>
          <w:color w:val="000000"/>
          <w:spacing w:val="0"/>
          <w:w w:val="100"/>
          <w:kern w:val="0"/>
          <w:sz w:val="24"/>
          <w:szCs w:val="24"/>
          <w:lang w:eastAsia="en-US"/>
        </w:rPr>
        <w:t>XXXX 年 XX 月 XX 日。</w:t>
      </w:r>
    </w:p>
    <w:p w14:paraId="3E4D5493">
      <w:pPr>
        <w:keepNext w:val="0"/>
        <w:keepLines w:val="0"/>
        <w:pageBreakBefore w:val="0"/>
        <w:widowControl w:val="0"/>
        <w:kinsoku/>
        <w:wordWrap/>
        <w:overflowPunct w:val="0"/>
        <w:topLinePunct w:val="0"/>
        <w:autoSpaceDE/>
        <w:autoSpaceDN/>
        <w:bidi w:val="0"/>
        <w:adjustRightInd/>
        <w:snapToGrid/>
        <w:spacing w:line="360" w:lineRule="auto"/>
        <w:ind w:left="0" w:right="0" w:firstLine="482"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b/>
          <w:bCs/>
          <w:snapToGrid w:val="0"/>
          <w:color w:val="000000"/>
          <w:spacing w:val="0"/>
          <w:w w:val="100"/>
          <w:kern w:val="0"/>
          <w:sz w:val="24"/>
          <w:szCs w:val="24"/>
          <w:lang w:eastAsia="en-US"/>
        </w:rPr>
        <w:t>采购人（甲方）：</w:t>
      </w:r>
    </w:p>
    <w:p w14:paraId="1588452D">
      <w:pPr>
        <w:keepNext w:val="0"/>
        <w:keepLines w:val="0"/>
        <w:pageBreakBefore w:val="0"/>
        <w:widowControl w:val="0"/>
        <w:kinsoku/>
        <w:wordWrap/>
        <w:overflowPunct w:val="0"/>
        <w:topLinePunct w:val="0"/>
        <w:autoSpaceDE/>
        <w:autoSpaceDN/>
        <w:bidi w:val="0"/>
        <w:adjustRightInd/>
        <w:snapToGrid/>
        <w:spacing w:line="360" w:lineRule="auto"/>
        <w:ind w:left="0" w:right="0" w:firstLine="482"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b/>
          <w:bCs/>
          <w:snapToGrid w:val="0"/>
          <w:color w:val="000000"/>
          <w:spacing w:val="0"/>
          <w:w w:val="100"/>
          <w:kern w:val="0"/>
          <w:sz w:val="24"/>
          <w:szCs w:val="24"/>
          <w:lang w:eastAsia="en-US"/>
        </w:rPr>
        <w:t>供应商（乙方）：</w:t>
      </w:r>
    </w:p>
    <w:p w14:paraId="59590133">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val="en-US" w:eastAsia="en-US" w:bidi="ar-SA"/>
        </w:rPr>
      </w:pPr>
    </w:p>
    <w:p w14:paraId="730682D0">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依据《中华人民共和国民法典》 等与项目行业有关的法律法规 ， 以及 “XXXXXXXXXXXXX 项目 ”（项目编号：XXXX，以下简称“项目 ”）的《</w:t>
      </w:r>
      <w:r>
        <w:rPr>
          <w:rFonts w:hint="eastAsia" w:ascii="宋体" w:hAnsi="宋体" w:eastAsia="宋体" w:cs="宋体"/>
          <w:snapToGrid w:val="0"/>
          <w:color w:val="000000"/>
          <w:spacing w:val="0"/>
          <w:w w:val="100"/>
          <w:kern w:val="0"/>
          <w:sz w:val="24"/>
          <w:szCs w:val="24"/>
          <w:lang w:eastAsia="zh-CN"/>
        </w:rPr>
        <w:t>招标</w:t>
      </w:r>
      <w:r>
        <w:rPr>
          <w:rFonts w:hint="eastAsia" w:ascii="宋体" w:hAnsi="宋体" w:eastAsia="宋体" w:cs="宋体"/>
          <w:snapToGrid w:val="0"/>
          <w:color w:val="000000"/>
          <w:spacing w:val="0"/>
          <w:w w:val="100"/>
          <w:kern w:val="0"/>
          <w:sz w:val="24"/>
          <w:szCs w:val="24"/>
          <w:lang w:eastAsia="en-US"/>
        </w:rPr>
        <w:t>文件》， 乙方的《</w:t>
      </w:r>
      <w:r>
        <w:rPr>
          <w:rFonts w:hint="eastAsia" w:ascii="宋体" w:hAnsi="宋体" w:eastAsia="宋体" w:cs="宋体"/>
          <w:snapToGrid w:val="0"/>
          <w:color w:val="000000"/>
          <w:spacing w:val="0"/>
          <w:w w:val="100"/>
          <w:kern w:val="0"/>
          <w:sz w:val="24"/>
          <w:szCs w:val="24"/>
          <w:lang w:eastAsia="zh-CN"/>
        </w:rPr>
        <w:t>投标</w:t>
      </w:r>
      <w:r>
        <w:rPr>
          <w:rFonts w:hint="eastAsia" w:ascii="宋体" w:hAnsi="宋体" w:eastAsia="宋体" w:cs="宋体"/>
          <w:snapToGrid w:val="0"/>
          <w:color w:val="000000"/>
          <w:spacing w:val="0"/>
          <w:w w:val="100"/>
          <w:kern w:val="0"/>
          <w:sz w:val="24"/>
          <w:szCs w:val="24"/>
          <w:lang w:eastAsia="en-US"/>
        </w:rPr>
        <w:t>文件》及《</w:t>
      </w:r>
      <w:r>
        <w:rPr>
          <w:rFonts w:hint="eastAsia" w:ascii="宋体" w:hAnsi="宋体" w:eastAsia="宋体" w:cs="宋体"/>
          <w:snapToGrid w:val="0"/>
          <w:color w:val="000000"/>
          <w:spacing w:val="0"/>
          <w:w w:val="100"/>
          <w:kern w:val="0"/>
          <w:sz w:val="24"/>
          <w:szCs w:val="24"/>
          <w:lang w:eastAsia="zh-CN"/>
        </w:rPr>
        <w:t>中标</w:t>
      </w:r>
      <w:r>
        <w:rPr>
          <w:rFonts w:hint="eastAsia" w:ascii="宋体" w:hAnsi="宋体" w:eastAsia="宋体" w:cs="宋体"/>
          <w:snapToGrid w:val="0"/>
          <w:color w:val="000000"/>
          <w:spacing w:val="0"/>
          <w:w w:val="100"/>
          <w:kern w:val="0"/>
          <w:sz w:val="24"/>
          <w:szCs w:val="24"/>
          <w:lang w:eastAsia="en-US"/>
        </w:rPr>
        <w:t>通知书》，甲、乙双方同意签订本合同。详细技术 说明及其他有关合同项目的特定信息由合同附件予以说明，合同附件及本项目的 《</w:t>
      </w:r>
      <w:r>
        <w:rPr>
          <w:rFonts w:hint="eastAsia" w:ascii="宋体" w:hAnsi="宋体" w:eastAsia="宋体" w:cs="宋体"/>
          <w:snapToGrid w:val="0"/>
          <w:color w:val="000000"/>
          <w:spacing w:val="0"/>
          <w:w w:val="100"/>
          <w:kern w:val="0"/>
          <w:sz w:val="24"/>
          <w:szCs w:val="24"/>
          <w:lang w:eastAsia="zh-CN"/>
        </w:rPr>
        <w:t>招标</w:t>
      </w:r>
      <w:r>
        <w:rPr>
          <w:rFonts w:hint="eastAsia" w:ascii="宋体" w:hAnsi="宋体" w:eastAsia="宋体" w:cs="宋体"/>
          <w:snapToGrid w:val="0"/>
          <w:color w:val="000000"/>
          <w:spacing w:val="0"/>
          <w:w w:val="100"/>
          <w:kern w:val="0"/>
          <w:sz w:val="24"/>
          <w:szCs w:val="24"/>
          <w:lang w:eastAsia="en-US"/>
        </w:rPr>
        <w:t>文件》《</w:t>
      </w:r>
      <w:r>
        <w:rPr>
          <w:rFonts w:hint="eastAsia" w:ascii="宋体" w:hAnsi="宋体" w:eastAsia="宋体" w:cs="宋体"/>
          <w:snapToGrid w:val="0"/>
          <w:color w:val="000000"/>
          <w:spacing w:val="0"/>
          <w:w w:val="100"/>
          <w:kern w:val="0"/>
          <w:sz w:val="24"/>
          <w:szCs w:val="24"/>
          <w:lang w:eastAsia="zh-CN"/>
        </w:rPr>
        <w:t>投标</w:t>
      </w:r>
      <w:r>
        <w:rPr>
          <w:rFonts w:hint="eastAsia" w:ascii="宋体" w:hAnsi="宋体" w:eastAsia="宋体" w:cs="宋体"/>
          <w:snapToGrid w:val="0"/>
          <w:color w:val="000000"/>
          <w:spacing w:val="0"/>
          <w:w w:val="100"/>
          <w:kern w:val="0"/>
          <w:sz w:val="24"/>
          <w:szCs w:val="24"/>
          <w:lang w:eastAsia="en-US"/>
        </w:rPr>
        <w:t>文件》《</w:t>
      </w:r>
      <w:r>
        <w:rPr>
          <w:rFonts w:hint="eastAsia" w:ascii="宋体" w:hAnsi="宋体" w:eastAsia="宋体" w:cs="宋体"/>
          <w:snapToGrid w:val="0"/>
          <w:color w:val="000000"/>
          <w:spacing w:val="0"/>
          <w:w w:val="100"/>
          <w:kern w:val="0"/>
          <w:sz w:val="24"/>
          <w:szCs w:val="24"/>
          <w:lang w:eastAsia="zh-CN"/>
        </w:rPr>
        <w:t>中标</w:t>
      </w:r>
      <w:r>
        <w:rPr>
          <w:rFonts w:hint="eastAsia" w:ascii="宋体" w:hAnsi="宋体" w:eastAsia="宋体" w:cs="宋体"/>
          <w:snapToGrid w:val="0"/>
          <w:color w:val="000000"/>
          <w:spacing w:val="0"/>
          <w:w w:val="100"/>
          <w:kern w:val="0"/>
          <w:sz w:val="24"/>
          <w:szCs w:val="24"/>
          <w:lang w:eastAsia="en-US"/>
        </w:rPr>
        <w:t>通知书》，等均为本合同的组成部分。双方同 意共同遵守如下条款。</w:t>
      </w:r>
    </w:p>
    <w:p w14:paraId="2FAE2A6F">
      <w:pPr>
        <w:keepNext w:val="0"/>
        <w:keepLines w:val="0"/>
        <w:pageBreakBefore w:val="0"/>
        <w:widowControl w:val="0"/>
        <w:kinsoku/>
        <w:wordWrap/>
        <w:overflowPunct w:val="0"/>
        <w:topLinePunct w:val="0"/>
        <w:autoSpaceDE/>
        <w:autoSpaceDN/>
        <w:bidi w:val="0"/>
        <w:adjustRightInd/>
        <w:snapToGrid/>
        <w:spacing w:line="360" w:lineRule="auto"/>
        <w:ind w:left="0" w:right="0" w:firstLine="482"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b/>
          <w:bCs/>
          <w:snapToGrid w:val="0"/>
          <w:color w:val="000000"/>
          <w:spacing w:val="0"/>
          <w:w w:val="100"/>
          <w:kern w:val="0"/>
          <w:sz w:val="24"/>
          <w:szCs w:val="24"/>
          <w:lang w:eastAsia="en-US"/>
        </w:rPr>
        <w:t>一、合同货物</w:t>
      </w:r>
    </w:p>
    <w:tbl>
      <w:tblPr>
        <w:tblStyle w:val="536"/>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703"/>
        <w:gridCol w:w="1131"/>
        <w:gridCol w:w="776"/>
        <w:gridCol w:w="971"/>
        <w:gridCol w:w="1165"/>
        <w:gridCol w:w="1278"/>
        <w:gridCol w:w="1042"/>
        <w:gridCol w:w="1681"/>
      </w:tblGrid>
      <w:tr w14:paraId="4120D4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9" w:hRule="atLeast"/>
          <w:jc w:val="center"/>
        </w:trPr>
        <w:tc>
          <w:tcPr>
            <w:tcW w:w="873" w:type="pct"/>
            <w:vAlign w:val="center"/>
          </w:tcPr>
          <w:p w14:paraId="589D88A7">
            <w:pPr>
              <w:keepNext w:val="0"/>
              <w:keepLines w:val="0"/>
              <w:pageBreakBefore w:val="0"/>
              <w:widowControl w:val="0"/>
              <w:kinsoku/>
              <w:wordWrap/>
              <w:overflowPunct w:val="0"/>
              <w:topLinePunct w:val="0"/>
              <w:autoSpaceDE/>
              <w:autoSpaceDN/>
              <w:bidi w:val="0"/>
              <w:adjustRightInd/>
              <w:snapToGrid/>
              <w:spacing w:line="360" w:lineRule="auto"/>
              <w:ind w:left="0" w:right="0" w:firstLine="0" w:firstLineChars="0"/>
              <w:jc w:val="center"/>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b/>
                <w:bCs/>
                <w:snapToGrid w:val="0"/>
                <w:color w:val="000000"/>
                <w:spacing w:val="0"/>
                <w:w w:val="100"/>
                <w:kern w:val="0"/>
                <w:sz w:val="24"/>
                <w:szCs w:val="24"/>
                <w:lang w:eastAsia="en-US"/>
              </w:rPr>
              <w:t>货物品名</w:t>
            </w:r>
          </w:p>
        </w:tc>
        <w:tc>
          <w:tcPr>
            <w:tcW w:w="580" w:type="pct"/>
            <w:vAlign w:val="center"/>
          </w:tcPr>
          <w:p w14:paraId="6D992581">
            <w:pPr>
              <w:keepNext w:val="0"/>
              <w:keepLines w:val="0"/>
              <w:pageBreakBefore w:val="0"/>
              <w:widowControl w:val="0"/>
              <w:kinsoku/>
              <w:wordWrap/>
              <w:overflowPunct w:val="0"/>
              <w:topLinePunct w:val="0"/>
              <w:autoSpaceDE/>
              <w:autoSpaceDN/>
              <w:bidi w:val="0"/>
              <w:adjustRightInd/>
              <w:snapToGrid/>
              <w:spacing w:line="360" w:lineRule="auto"/>
              <w:ind w:left="0" w:right="0" w:firstLine="0" w:firstLineChars="0"/>
              <w:jc w:val="center"/>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b/>
                <w:bCs/>
                <w:snapToGrid w:val="0"/>
                <w:color w:val="000000"/>
                <w:spacing w:val="0"/>
                <w:w w:val="100"/>
                <w:kern w:val="0"/>
                <w:sz w:val="24"/>
                <w:szCs w:val="24"/>
                <w:lang w:eastAsia="en-US"/>
              </w:rPr>
              <w:t>规格</w:t>
            </w:r>
          </w:p>
          <w:p w14:paraId="205BE748">
            <w:pPr>
              <w:keepNext w:val="0"/>
              <w:keepLines w:val="0"/>
              <w:pageBreakBefore w:val="0"/>
              <w:widowControl w:val="0"/>
              <w:kinsoku/>
              <w:wordWrap/>
              <w:overflowPunct w:val="0"/>
              <w:topLinePunct w:val="0"/>
              <w:autoSpaceDE/>
              <w:autoSpaceDN/>
              <w:bidi w:val="0"/>
              <w:adjustRightInd/>
              <w:snapToGrid/>
              <w:spacing w:line="360" w:lineRule="auto"/>
              <w:ind w:left="0" w:right="0" w:firstLine="0" w:firstLineChars="0"/>
              <w:jc w:val="center"/>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b/>
                <w:bCs/>
                <w:snapToGrid w:val="0"/>
                <w:color w:val="000000"/>
                <w:spacing w:val="0"/>
                <w:w w:val="100"/>
                <w:kern w:val="0"/>
                <w:sz w:val="24"/>
                <w:szCs w:val="24"/>
                <w:lang w:eastAsia="en-US"/>
              </w:rPr>
              <w:t>型号</w:t>
            </w:r>
          </w:p>
        </w:tc>
        <w:tc>
          <w:tcPr>
            <w:tcW w:w="398" w:type="pct"/>
            <w:vAlign w:val="center"/>
          </w:tcPr>
          <w:p w14:paraId="38CC4F81">
            <w:pPr>
              <w:keepNext w:val="0"/>
              <w:keepLines w:val="0"/>
              <w:pageBreakBefore w:val="0"/>
              <w:widowControl w:val="0"/>
              <w:kinsoku/>
              <w:wordWrap/>
              <w:overflowPunct w:val="0"/>
              <w:topLinePunct w:val="0"/>
              <w:autoSpaceDE/>
              <w:autoSpaceDN/>
              <w:bidi w:val="0"/>
              <w:adjustRightInd/>
              <w:snapToGrid/>
              <w:spacing w:line="360" w:lineRule="auto"/>
              <w:ind w:left="0" w:right="0" w:firstLine="0" w:firstLineChars="0"/>
              <w:jc w:val="center"/>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b/>
                <w:bCs/>
                <w:snapToGrid w:val="0"/>
                <w:color w:val="000000"/>
                <w:spacing w:val="0"/>
                <w:w w:val="100"/>
                <w:kern w:val="0"/>
                <w:sz w:val="24"/>
                <w:szCs w:val="24"/>
                <w:lang w:eastAsia="en-US"/>
              </w:rPr>
              <w:t>单位</w:t>
            </w:r>
          </w:p>
        </w:tc>
        <w:tc>
          <w:tcPr>
            <w:tcW w:w="498" w:type="pct"/>
            <w:vAlign w:val="center"/>
          </w:tcPr>
          <w:p w14:paraId="72A8100D">
            <w:pPr>
              <w:keepNext w:val="0"/>
              <w:keepLines w:val="0"/>
              <w:pageBreakBefore w:val="0"/>
              <w:widowControl w:val="0"/>
              <w:kinsoku/>
              <w:wordWrap/>
              <w:overflowPunct w:val="0"/>
              <w:topLinePunct w:val="0"/>
              <w:autoSpaceDE/>
              <w:autoSpaceDN/>
              <w:bidi w:val="0"/>
              <w:adjustRightInd/>
              <w:snapToGrid/>
              <w:spacing w:line="360" w:lineRule="auto"/>
              <w:ind w:left="0" w:right="0" w:firstLine="0" w:firstLineChars="0"/>
              <w:jc w:val="center"/>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b/>
                <w:bCs/>
                <w:snapToGrid w:val="0"/>
                <w:color w:val="000000"/>
                <w:spacing w:val="0"/>
                <w:w w:val="100"/>
                <w:kern w:val="0"/>
                <w:sz w:val="24"/>
                <w:szCs w:val="24"/>
                <w:lang w:eastAsia="en-US"/>
              </w:rPr>
              <w:t>数量</w:t>
            </w:r>
          </w:p>
        </w:tc>
        <w:tc>
          <w:tcPr>
            <w:tcW w:w="597" w:type="pct"/>
            <w:vAlign w:val="center"/>
          </w:tcPr>
          <w:p w14:paraId="074F641D">
            <w:pPr>
              <w:keepNext w:val="0"/>
              <w:keepLines w:val="0"/>
              <w:pageBreakBefore w:val="0"/>
              <w:widowControl w:val="0"/>
              <w:kinsoku/>
              <w:wordWrap/>
              <w:overflowPunct w:val="0"/>
              <w:topLinePunct w:val="0"/>
              <w:autoSpaceDE/>
              <w:autoSpaceDN/>
              <w:bidi w:val="0"/>
              <w:adjustRightInd/>
              <w:snapToGrid/>
              <w:spacing w:line="360" w:lineRule="auto"/>
              <w:ind w:left="0" w:right="0" w:firstLine="0" w:firstLineChars="0"/>
              <w:jc w:val="center"/>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b/>
                <w:bCs/>
                <w:snapToGrid w:val="0"/>
                <w:color w:val="000000"/>
                <w:spacing w:val="0"/>
                <w:w w:val="100"/>
                <w:kern w:val="0"/>
                <w:sz w:val="24"/>
                <w:szCs w:val="24"/>
                <w:lang w:eastAsia="en-US"/>
              </w:rPr>
              <w:t>单价</w:t>
            </w:r>
          </w:p>
          <w:p w14:paraId="19251372">
            <w:pPr>
              <w:keepNext w:val="0"/>
              <w:keepLines w:val="0"/>
              <w:pageBreakBefore w:val="0"/>
              <w:widowControl w:val="0"/>
              <w:kinsoku/>
              <w:wordWrap/>
              <w:overflowPunct w:val="0"/>
              <w:topLinePunct w:val="0"/>
              <w:autoSpaceDE/>
              <w:autoSpaceDN/>
              <w:bidi w:val="0"/>
              <w:adjustRightInd/>
              <w:snapToGrid/>
              <w:spacing w:line="360" w:lineRule="auto"/>
              <w:ind w:left="0" w:right="0" w:firstLine="0" w:firstLineChars="0"/>
              <w:jc w:val="center"/>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b/>
                <w:bCs/>
                <w:snapToGrid w:val="0"/>
                <w:color w:val="000000"/>
                <w:spacing w:val="0"/>
                <w:w w:val="100"/>
                <w:kern w:val="0"/>
                <w:sz w:val="24"/>
                <w:szCs w:val="24"/>
                <w:lang w:eastAsia="en-US"/>
              </w:rPr>
              <w:t>（万元）</w:t>
            </w:r>
          </w:p>
        </w:tc>
        <w:tc>
          <w:tcPr>
            <w:tcW w:w="655" w:type="pct"/>
            <w:vAlign w:val="center"/>
          </w:tcPr>
          <w:p w14:paraId="39DA3510">
            <w:pPr>
              <w:keepNext w:val="0"/>
              <w:keepLines w:val="0"/>
              <w:pageBreakBefore w:val="0"/>
              <w:widowControl w:val="0"/>
              <w:kinsoku/>
              <w:wordWrap/>
              <w:overflowPunct w:val="0"/>
              <w:topLinePunct w:val="0"/>
              <w:autoSpaceDE/>
              <w:autoSpaceDN/>
              <w:bidi w:val="0"/>
              <w:adjustRightInd/>
              <w:snapToGrid/>
              <w:spacing w:line="360" w:lineRule="auto"/>
              <w:ind w:left="0" w:right="0" w:firstLine="0" w:firstLineChars="0"/>
              <w:jc w:val="center"/>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b/>
                <w:bCs/>
                <w:snapToGrid w:val="0"/>
                <w:color w:val="000000"/>
                <w:spacing w:val="0"/>
                <w:w w:val="100"/>
                <w:kern w:val="0"/>
                <w:sz w:val="24"/>
                <w:szCs w:val="24"/>
                <w:lang w:eastAsia="en-US"/>
              </w:rPr>
              <w:t>总价</w:t>
            </w:r>
          </w:p>
          <w:p w14:paraId="54F7E854">
            <w:pPr>
              <w:keepNext w:val="0"/>
              <w:keepLines w:val="0"/>
              <w:pageBreakBefore w:val="0"/>
              <w:widowControl w:val="0"/>
              <w:kinsoku/>
              <w:wordWrap/>
              <w:overflowPunct w:val="0"/>
              <w:topLinePunct w:val="0"/>
              <w:autoSpaceDE/>
              <w:autoSpaceDN/>
              <w:bidi w:val="0"/>
              <w:adjustRightInd/>
              <w:snapToGrid/>
              <w:spacing w:line="360" w:lineRule="auto"/>
              <w:ind w:left="0" w:right="0" w:firstLine="0" w:firstLineChars="0"/>
              <w:jc w:val="center"/>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b/>
                <w:bCs/>
                <w:snapToGrid w:val="0"/>
                <w:color w:val="000000"/>
                <w:spacing w:val="0"/>
                <w:w w:val="100"/>
                <w:kern w:val="0"/>
                <w:sz w:val="24"/>
                <w:szCs w:val="24"/>
                <w:lang w:eastAsia="en-US"/>
              </w:rPr>
              <w:t>（万元）</w:t>
            </w:r>
          </w:p>
        </w:tc>
        <w:tc>
          <w:tcPr>
            <w:tcW w:w="534" w:type="pct"/>
            <w:vAlign w:val="center"/>
          </w:tcPr>
          <w:p w14:paraId="69E2FCA2">
            <w:pPr>
              <w:keepNext w:val="0"/>
              <w:keepLines w:val="0"/>
              <w:pageBreakBefore w:val="0"/>
              <w:widowControl w:val="0"/>
              <w:kinsoku/>
              <w:wordWrap/>
              <w:overflowPunct w:val="0"/>
              <w:topLinePunct w:val="0"/>
              <w:autoSpaceDE/>
              <w:autoSpaceDN/>
              <w:bidi w:val="0"/>
              <w:adjustRightInd/>
              <w:snapToGrid/>
              <w:spacing w:line="360" w:lineRule="auto"/>
              <w:ind w:left="0" w:right="0" w:firstLine="0" w:firstLineChars="0"/>
              <w:jc w:val="center"/>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b/>
                <w:bCs/>
                <w:snapToGrid w:val="0"/>
                <w:color w:val="000000"/>
                <w:spacing w:val="0"/>
                <w:w w:val="100"/>
                <w:kern w:val="0"/>
                <w:sz w:val="24"/>
                <w:szCs w:val="24"/>
                <w:lang w:eastAsia="en-US"/>
              </w:rPr>
              <w:t>随机</w:t>
            </w:r>
          </w:p>
          <w:p w14:paraId="621EFE00">
            <w:pPr>
              <w:keepNext w:val="0"/>
              <w:keepLines w:val="0"/>
              <w:pageBreakBefore w:val="0"/>
              <w:widowControl w:val="0"/>
              <w:kinsoku/>
              <w:wordWrap/>
              <w:overflowPunct w:val="0"/>
              <w:topLinePunct w:val="0"/>
              <w:autoSpaceDE/>
              <w:autoSpaceDN/>
              <w:bidi w:val="0"/>
              <w:adjustRightInd/>
              <w:snapToGrid/>
              <w:spacing w:line="360" w:lineRule="auto"/>
              <w:ind w:left="0" w:right="0" w:firstLine="0" w:firstLineChars="0"/>
              <w:jc w:val="center"/>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b/>
                <w:bCs/>
                <w:snapToGrid w:val="0"/>
                <w:color w:val="000000"/>
                <w:spacing w:val="0"/>
                <w:w w:val="100"/>
                <w:kern w:val="0"/>
                <w:sz w:val="24"/>
                <w:szCs w:val="24"/>
                <w:lang w:eastAsia="en-US"/>
              </w:rPr>
              <w:t>配件</w:t>
            </w:r>
          </w:p>
        </w:tc>
        <w:tc>
          <w:tcPr>
            <w:tcW w:w="862" w:type="pct"/>
            <w:vAlign w:val="center"/>
          </w:tcPr>
          <w:p w14:paraId="083A9FD3">
            <w:pPr>
              <w:keepNext w:val="0"/>
              <w:keepLines w:val="0"/>
              <w:pageBreakBefore w:val="0"/>
              <w:widowControl w:val="0"/>
              <w:kinsoku/>
              <w:wordWrap/>
              <w:overflowPunct w:val="0"/>
              <w:topLinePunct w:val="0"/>
              <w:autoSpaceDE/>
              <w:autoSpaceDN/>
              <w:bidi w:val="0"/>
              <w:adjustRightInd/>
              <w:snapToGrid/>
              <w:spacing w:line="360" w:lineRule="auto"/>
              <w:ind w:left="0" w:right="0" w:firstLine="0" w:firstLineChars="0"/>
              <w:jc w:val="center"/>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b/>
                <w:bCs/>
                <w:snapToGrid w:val="0"/>
                <w:color w:val="000000"/>
                <w:spacing w:val="0"/>
                <w:w w:val="100"/>
                <w:kern w:val="0"/>
                <w:sz w:val="24"/>
                <w:szCs w:val="24"/>
                <w:lang w:eastAsia="en-US"/>
              </w:rPr>
              <w:t>交货期限</w:t>
            </w:r>
          </w:p>
        </w:tc>
      </w:tr>
      <w:tr w14:paraId="2A800A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5" w:hRule="atLeast"/>
          <w:jc w:val="center"/>
        </w:trPr>
        <w:tc>
          <w:tcPr>
            <w:tcW w:w="873" w:type="pct"/>
            <w:vAlign w:val="center"/>
          </w:tcPr>
          <w:p w14:paraId="2CDECF9F">
            <w:pPr>
              <w:keepNext w:val="0"/>
              <w:keepLines w:val="0"/>
              <w:pageBreakBefore w:val="0"/>
              <w:widowControl w:val="0"/>
              <w:kinsoku/>
              <w:wordWrap/>
              <w:overflowPunct w:val="0"/>
              <w:topLinePunct w:val="0"/>
              <w:autoSpaceDE/>
              <w:autoSpaceDN/>
              <w:bidi w:val="0"/>
              <w:adjustRightInd/>
              <w:snapToGrid/>
              <w:spacing w:line="360" w:lineRule="auto"/>
              <w:ind w:left="0" w:right="0" w:firstLine="0" w:firstLineChars="0"/>
              <w:jc w:val="center"/>
              <w:textAlignment w:val="baseline"/>
              <w:outlineLvl w:val="9"/>
              <w:rPr>
                <w:rFonts w:hint="eastAsia" w:ascii="宋体" w:hAnsi="宋体" w:eastAsia="宋体" w:cs="宋体"/>
                <w:snapToGrid w:val="0"/>
                <w:color w:val="000000"/>
                <w:spacing w:val="0"/>
                <w:w w:val="100"/>
                <w:kern w:val="0"/>
                <w:sz w:val="24"/>
                <w:szCs w:val="24"/>
                <w:lang w:val="en-US" w:eastAsia="zh-CN"/>
              </w:rPr>
            </w:pPr>
            <w:r>
              <w:rPr>
                <w:rFonts w:hint="eastAsia" w:ascii="宋体" w:hAnsi="宋体" w:eastAsia="宋体" w:cs="宋体"/>
                <w:snapToGrid w:val="0"/>
                <w:color w:val="000000"/>
                <w:spacing w:val="0"/>
                <w:w w:val="100"/>
                <w:kern w:val="0"/>
                <w:sz w:val="24"/>
                <w:szCs w:val="24"/>
                <w:lang w:val="en-US" w:eastAsia="zh-CN"/>
              </w:rPr>
              <w:t>电梯</w:t>
            </w:r>
          </w:p>
        </w:tc>
        <w:tc>
          <w:tcPr>
            <w:tcW w:w="580" w:type="pct"/>
            <w:vAlign w:val="center"/>
          </w:tcPr>
          <w:p w14:paraId="50A61725">
            <w:pPr>
              <w:keepNext w:val="0"/>
              <w:keepLines w:val="0"/>
              <w:pageBreakBefore w:val="0"/>
              <w:widowControl w:val="0"/>
              <w:kinsoku/>
              <w:wordWrap/>
              <w:overflowPunct w:val="0"/>
              <w:topLinePunct w:val="0"/>
              <w:autoSpaceDE/>
              <w:autoSpaceDN/>
              <w:bidi w:val="0"/>
              <w:adjustRightInd/>
              <w:snapToGrid/>
              <w:spacing w:line="360" w:lineRule="auto"/>
              <w:ind w:left="0" w:right="0" w:firstLine="0" w:firstLineChars="0"/>
              <w:jc w:val="center"/>
              <w:textAlignment w:val="baseline"/>
              <w:outlineLvl w:val="9"/>
              <w:rPr>
                <w:rFonts w:hint="eastAsia" w:ascii="宋体" w:hAnsi="宋体" w:eastAsia="宋体" w:cs="宋体"/>
                <w:snapToGrid w:val="0"/>
                <w:color w:val="000000"/>
                <w:spacing w:val="0"/>
                <w:w w:val="100"/>
                <w:kern w:val="0"/>
                <w:sz w:val="24"/>
                <w:szCs w:val="24"/>
                <w:lang w:eastAsia="en-US"/>
              </w:rPr>
            </w:pPr>
          </w:p>
        </w:tc>
        <w:tc>
          <w:tcPr>
            <w:tcW w:w="398" w:type="pct"/>
            <w:vAlign w:val="center"/>
          </w:tcPr>
          <w:p w14:paraId="1DFE2599">
            <w:pPr>
              <w:keepNext w:val="0"/>
              <w:keepLines w:val="0"/>
              <w:pageBreakBefore w:val="0"/>
              <w:widowControl w:val="0"/>
              <w:kinsoku/>
              <w:wordWrap/>
              <w:overflowPunct w:val="0"/>
              <w:topLinePunct w:val="0"/>
              <w:autoSpaceDE/>
              <w:autoSpaceDN/>
              <w:bidi w:val="0"/>
              <w:adjustRightInd/>
              <w:snapToGrid/>
              <w:spacing w:line="360" w:lineRule="auto"/>
              <w:ind w:left="0" w:right="0" w:firstLine="0" w:firstLineChars="0"/>
              <w:jc w:val="center"/>
              <w:textAlignment w:val="baseline"/>
              <w:outlineLvl w:val="9"/>
              <w:rPr>
                <w:rFonts w:hint="eastAsia" w:ascii="宋体" w:hAnsi="宋体" w:eastAsia="宋体" w:cs="宋体"/>
                <w:snapToGrid w:val="0"/>
                <w:color w:val="000000"/>
                <w:spacing w:val="0"/>
                <w:w w:val="100"/>
                <w:kern w:val="0"/>
                <w:sz w:val="24"/>
                <w:szCs w:val="24"/>
                <w:lang w:eastAsia="zh-CN"/>
              </w:rPr>
            </w:pPr>
            <w:r>
              <w:rPr>
                <w:rFonts w:hint="eastAsia" w:ascii="宋体" w:hAnsi="宋体" w:eastAsia="宋体" w:cs="宋体"/>
                <w:snapToGrid w:val="0"/>
                <w:color w:val="000000"/>
                <w:spacing w:val="0"/>
                <w:w w:val="100"/>
                <w:kern w:val="0"/>
                <w:sz w:val="24"/>
                <w:szCs w:val="24"/>
                <w:lang w:eastAsia="zh-CN"/>
              </w:rPr>
              <w:t>台</w:t>
            </w:r>
          </w:p>
        </w:tc>
        <w:tc>
          <w:tcPr>
            <w:tcW w:w="498" w:type="pct"/>
            <w:vAlign w:val="center"/>
          </w:tcPr>
          <w:p w14:paraId="439379B5">
            <w:pPr>
              <w:keepNext w:val="0"/>
              <w:keepLines w:val="0"/>
              <w:pageBreakBefore w:val="0"/>
              <w:widowControl w:val="0"/>
              <w:kinsoku/>
              <w:wordWrap/>
              <w:overflowPunct w:val="0"/>
              <w:topLinePunct w:val="0"/>
              <w:autoSpaceDE/>
              <w:autoSpaceDN/>
              <w:bidi w:val="0"/>
              <w:adjustRightInd/>
              <w:snapToGrid/>
              <w:spacing w:line="360" w:lineRule="auto"/>
              <w:ind w:left="0" w:right="0" w:firstLine="0" w:firstLineChars="0"/>
              <w:jc w:val="center"/>
              <w:textAlignment w:val="baseline"/>
              <w:outlineLvl w:val="9"/>
              <w:rPr>
                <w:rFonts w:hint="eastAsia" w:ascii="宋体" w:hAnsi="宋体" w:eastAsia="宋体" w:cs="宋体"/>
                <w:snapToGrid w:val="0"/>
                <w:color w:val="000000"/>
                <w:spacing w:val="0"/>
                <w:w w:val="100"/>
                <w:kern w:val="0"/>
                <w:sz w:val="24"/>
                <w:szCs w:val="24"/>
                <w:lang w:val="en-US" w:eastAsia="zh-CN"/>
              </w:rPr>
            </w:pPr>
            <w:r>
              <w:rPr>
                <w:rFonts w:hint="eastAsia" w:ascii="宋体" w:hAnsi="宋体" w:eastAsia="宋体" w:cs="宋体"/>
                <w:snapToGrid w:val="0"/>
                <w:color w:val="000000"/>
                <w:spacing w:val="0"/>
                <w:w w:val="100"/>
                <w:kern w:val="0"/>
                <w:sz w:val="24"/>
                <w:szCs w:val="24"/>
                <w:lang w:val="en-US" w:eastAsia="zh-CN"/>
              </w:rPr>
              <w:t>1</w:t>
            </w:r>
          </w:p>
        </w:tc>
        <w:tc>
          <w:tcPr>
            <w:tcW w:w="597" w:type="pct"/>
            <w:vAlign w:val="center"/>
          </w:tcPr>
          <w:p w14:paraId="79850F50">
            <w:pPr>
              <w:keepNext w:val="0"/>
              <w:keepLines w:val="0"/>
              <w:pageBreakBefore w:val="0"/>
              <w:widowControl w:val="0"/>
              <w:kinsoku/>
              <w:wordWrap/>
              <w:overflowPunct w:val="0"/>
              <w:topLinePunct w:val="0"/>
              <w:autoSpaceDE/>
              <w:autoSpaceDN/>
              <w:bidi w:val="0"/>
              <w:adjustRightInd/>
              <w:snapToGrid/>
              <w:spacing w:line="360" w:lineRule="auto"/>
              <w:ind w:left="0" w:right="0" w:firstLine="0" w:firstLineChars="0"/>
              <w:jc w:val="center"/>
              <w:textAlignment w:val="baseline"/>
              <w:outlineLvl w:val="9"/>
              <w:rPr>
                <w:rFonts w:hint="eastAsia" w:ascii="宋体" w:hAnsi="宋体" w:eastAsia="宋体" w:cs="宋体"/>
                <w:snapToGrid w:val="0"/>
                <w:color w:val="000000"/>
                <w:spacing w:val="0"/>
                <w:w w:val="100"/>
                <w:kern w:val="0"/>
                <w:sz w:val="24"/>
                <w:szCs w:val="24"/>
                <w:lang w:eastAsia="en-US"/>
              </w:rPr>
            </w:pPr>
          </w:p>
        </w:tc>
        <w:tc>
          <w:tcPr>
            <w:tcW w:w="655" w:type="pct"/>
            <w:vAlign w:val="center"/>
          </w:tcPr>
          <w:p w14:paraId="0E8DFC9D">
            <w:pPr>
              <w:keepNext w:val="0"/>
              <w:keepLines w:val="0"/>
              <w:pageBreakBefore w:val="0"/>
              <w:widowControl w:val="0"/>
              <w:kinsoku/>
              <w:wordWrap/>
              <w:overflowPunct w:val="0"/>
              <w:topLinePunct w:val="0"/>
              <w:autoSpaceDE/>
              <w:autoSpaceDN/>
              <w:bidi w:val="0"/>
              <w:adjustRightInd/>
              <w:snapToGrid/>
              <w:spacing w:line="360" w:lineRule="auto"/>
              <w:ind w:left="0" w:right="0" w:firstLine="0" w:firstLineChars="0"/>
              <w:jc w:val="center"/>
              <w:textAlignment w:val="baseline"/>
              <w:outlineLvl w:val="9"/>
              <w:rPr>
                <w:rFonts w:hint="eastAsia" w:ascii="宋体" w:hAnsi="宋体" w:eastAsia="宋体" w:cs="宋体"/>
                <w:snapToGrid w:val="0"/>
                <w:color w:val="000000"/>
                <w:spacing w:val="0"/>
                <w:w w:val="100"/>
                <w:kern w:val="0"/>
                <w:sz w:val="24"/>
                <w:szCs w:val="24"/>
                <w:lang w:eastAsia="en-US"/>
              </w:rPr>
            </w:pPr>
          </w:p>
        </w:tc>
        <w:tc>
          <w:tcPr>
            <w:tcW w:w="534" w:type="pct"/>
            <w:vAlign w:val="center"/>
          </w:tcPr>
          <w:p w14:paraId="7A0485EE">
            <w:pPr>
              <w:keepNext w:val="0"/>
              <w:keepLines w:val="0"/>
              <w:pageBreakBefore w:val="0"/>
              <w:widowControl w:val="0"/>
              <w:kinsoku/>
              <w:wordWrap/>
              <w:overflowPunct w:val="0"/>
              <w:topLinePunct w:val="0"/>
              <w:autoSpaceDE/>
              <w:autoSpaceDN/>
              <w:bidi w:val="0"/>
              <w:adjustRightInd/>
              <w:snapToGrid/>
              <w:spacing w:line="360" w:lineRule="auto"/>
              <w:ind w:left="0" w:right="0" w:firstLine="0" w:firstLineChars="0"/>
              <w:jc w:val="center"/>
              <w:textAlignment w:val="baseline"/>
              <w:outlineLvl w:val="9"/>
              <w:rPr>
                <w:rFonts w:hint="eastAsia" w:ascii="宋体" w:hAnsi="宋体" w:eastAsia="宋体" w:cs="宋体"/>
                <w:snapToGrid w:val="0"/>
                <w:color w:val="000000"/>
                <w:spacing w:val="0"/>
                <w:w w:val="100"/>
                <w:kern w:val="0"/>
                <w:sz w:val="24"/>
                <w:szCs w:val="24"/>
                <w:lang w:eastAsia="en-US"/>
              </w:rPr>
            </w:pPr>
          </w:p>
        </w:tc>
        <w:tc>
          <w:tcPr>
            <w:tcW w:w="862" w:type="pct"/>
            <w:vAlign w:val="center"/>
          </w:tcPr>
          <w:p w14:paraId="11471D84">
            <w:pPr>
              <w:keepNext w:val="0"/>
              <w:keepLines w:val="0"/>
              <w:pageBreakBefore w:val="0"/>
              <w:widowControl w:val="0"/>
              <w:kinsoku/>
              <w:wordWrap/>
              <w:overflowPunct w:val="0"/>
              <w:topLinePunct w:val="0"/>
              <w:autoSpaceDE/>
              <w:autoSpaceDN/>
              <w:bidi w:val="0"/>
              <w:adjustRightInd/>
              <w:snapToGrid/>
              <w:spacing w:line="360" w:lineRule="auto"/>
              <w:ind w:left="0" w:right="0" w:firstLine="0" w:firstLineChars="0"/>
              <w:jc w:val="both"/>
              <w:textAlignment w:val="baseline"/>
              <w:outlineLvl w:val="9"/>
              <w:rPr>
                <w:rFonts w:hint="eastAsia" w:ascii="宋体" w:hAnsi="宋体" w:eastAsia="宋体" w:cs="宋体"/>
                <w:snapToGrid w:val="0"/>
                <w:color w:val="000000"/>
                <w:spacing w:val="0"/>
                <w:w w:val="100"/>
                <w:kern w:val="0"/>
                <w:sz w:val="24"/>
                <w:szCs w:val="24"/>
                <w:lang w:val="en-US" w:eastAsia="zh-CN"/>
              </w:rPr>
            </w:pPr>
            <w:r>
              <w:rPr>
                <w:rFonts w:hint="eastAsia" w:ascii="宋体" w:hAnsi="宋体" w:eastAsia="宋体" w:cs="宋体"/>
                <w:snapToGrid w:val="0"/>
                <w:color w:val="000000"/>
                <w:spacing w:val="0"/>
                <w:w w:val="100"/>
                <w:kern w:val="0"/>
                <w:sz w:val="24"/>
                <w:szCs w:val="24"/>
                <w:lang w:eastAsia="en-US"/>
              </w:rPr>
              <w:t xml:space="preserve"> </w:t>
            </w:r>
          </w:p>
        </w:tc>
      </w:tr>
    </w:tbl>
    <w:p w14:paraId="324DB334">
      <w:pPr>
        <w:keepNext w:val="0"/>
        <w:keepLines w:val="0"/>
        <w:pageBreakBefore w:val="0"/>
        <w:widowControl w:val="0"/>
        <w:kinsoku/>
        <w:wordWrap/>
        <w:overflowPunct w:val="0"/>
        <w:topLinePunct w:val="0"/>
        <w:autoSpaceDE/>
        <w:autoSpaceDN/>
        <w:bidi w:val="0"/>
        <w:adjustRightInd/>
        <w:snapToGrid/>
        <w:spacing w:line="360" w:lineRule="auto"/>
        <w:ind w:left="0" w:right="0" w:firstLine="482"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b/>
          <w:bCs/>
          <w:snapToGrid w:val="0"/>
          <w:color w:val="000000"/>
          <w:spacing w:val="0"/>
          <w:w w:val="100"/>
          <w:kern w:val="0"/>
          <w:sz w:val="24"/>
          <w:szCs w:val="24"/>
          <w:lang w:eastAsia="en-US"/>
        </w:rPr>
        <w:t>二、合同总价</w:t>
      </w:r>
    </w:p>
    <w:p w14:paraId="5AF51F01">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合同总价为人民币大写：                元，即 RMB￥        元；该本合同总价包含内容：工程范围内项目报建、项目监督、设计、设备材料采购、施工（含土建工程、电梯井道钢结构施工、电梯安装和调试、井道钢结构屋面、廊桥工程、候梯平台连廊与原住宅连接部分的土建工程、基础加固以及施工、检测、试运行、项目报验、交付使用、质保期维修养护及安装过程中垃圾清理</w:t>
      </w:r>
      <w:r>
        <w:rPr>
          <w:rFonts w:hint="eastAsia" w:ascii="宋体" w:hAnsi="宋体" w:eastAsia="宋体" w:cs="宋体"/>
          <w:snapToGrid w:val="0"/>
          <w:color w:val="000000"/>
          <w:spacing w:val="0"/>
          <w:w w:val="100"/>
          <w:kern w:val="0"/>
          <w:sz w:val="24"/>
          <w:szCs w:val="24"/>
          <w:lang w:eastAsia="zh-CN"/>
        </w:rPr>
        <w:t>等乙方为履行本合同项下全部义务，以及为实现本合同根本目的所应履行的其他一切必要、合理义务所需支付的全部费用</w:t>
      </w:r>
      <w:r>
        <w:rPr>
          <w:rFonts w:hint="eastAsia" w:ascii="宋体" w:hAnsi="宋体" w:eastAsia="宋体" w:cs="宋体"/>
          <w:snapToGrid w:val="0"/>
          <w:color w:val="000000"/>
          <w:spacing w:val="0"/>
          <w:w w:val="100"/>
          <w:kern w:val="0"/>
          <w:sz w:val="24"/>
          <w:szCs w:val="24"/>
          <w:lang w:eastAsia="en-US"/>
        </w:rPr>
        <w:t>。本合同执行期间合同总价不变，甲方无需向乙方支付双方未明确书面约定的其他任何费用。</w:t>
      </w:r>
    </w:p>
    <w:p w14:paraId="19FF4F74">
      <w:pPr>
        <w:keepNext w:val="0"/>
        <w:keepLines w:val="0"/>
        <w:pageBreakBefore w:val="0"/>
        <w:widowControl w:val="0"/>
        <w:kinsoku/>
        <w:wordWrap/>
        <w:overflowPunct w:val="0"/>
        <w:topLinePunct w:val="0"/>
        <w:autoSpaceDE/>
        <w:autoSpaceDN/>
        <w:bidi w:val="0"/>
        <w:adjustRightInd/>
        <w:snapToGrid/>
        <w:spacing w:line="360" w:lineRule="auto"/>
        <w:ind w:left="0" w:right="0" w:firstLine="482"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b/>
          <w:bCs/>
          <w:snapToGrid w:val="0"/>
          <w:color w:val="000000"/>
          <w:spacing w:val="0"/>
          <w:w w:val="100"/>
          <w:kern w:val="0"/>
          <w:sz w:val="24"/>
          <w:szCs w:val="24"/>
          <w:lang w:eastAsia="en-US"/>
        </w:rPr>
        <w:t>三、质量要求</w:t>
      </w:r>
    </w:p>
    <w:p w14:paraId="2D885E39">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1、乙方须提供全新的货物（含零部件、配件等），表面无划伤、无碰撞痕 迹，且权属清楚，不得侵害他人的物权及知识产权。否则乙方应当赔偿因此给甲方造成的全部直接、间接损失。</w:t>
      </w:r>
    </w:p>
    <w:p w14:paraId="4B1FF2CF">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2、货物必须符合或优于国家（行业）标准，以及本项目公开招标文件的质 量要求和技术指标与出厂标准。</w:t>
      </w:r>
      <w:r>
        <w:rPr>
          <w:rFonts w:hint="eastAsia" w:ascii="宋体" w:hAnsi="宋体" w:eastAsia="宋体" w:cs="宋体"/>
          <w:snapToGrid w:val="0"/>
          <w:color w:val="auto"/>
          <w:spacing w:val="0"/>
          <w:w w:val="100"/>
          <w:kern w:val="0"/>
          <w:sz w:val="24"/>
          <w:szCs w:val="24"/>
          <w:lang w:eastAsia="zh-CN" w:bidi="ar"/>
        </w:rPr>
        <w:t>乙方</w:t>
      </w:r>
      <w:r>
        <w:rPr>
          <w:rFonts w:hint="eastAsia" w:ascii="宋体" w:hAnsi="宋体" w:eastAsia="宋体" w:cs="宋体"/>
          <w:snapToGrid w:val="0"/>
          <w:color w:val="auto"/>
          <w:spacing w:val="0"/>
          <w:w w:val="100"/>
          <w:kern w:val="0"/>
          <w:sz w:val="24"/>
          <w:szCs w:val="24"/>
          <w:lang w:eastAsia="en-US" w:bidi="ar"/>
        </w:rPr>
        <w:t>为本项目提供的所有产品及辅材属于《国家强制性产品认证目录》范围内的，均需通过国家强制性产品认证并取得认证证书。</w:t>
      </w:r>
      <w:r>
        <w:rPr>
          <w:rFonts w:hint="eastAsia" w:ascii="宋体" w:hAnsi="宋体" w:eastAsia="宋体" w:cs="宋体"/>
          <w:snapToGrid w:val="0"/>
          <w:color w:val="auto"/>
          <w:spacing w:val="0"/>
          <w:w w:val="100"/>
          <w:kern w:val="0"/>
          <w:sz w:val="24"/>
          <w:szCs w:val="24"/>
          <w:lang w:eastAsia="zh-CN" w:bidi="ar"/>
        </w:rPr>
        <w:t>乙方</w:t>
      </w:r>
      <w:r>
        <w:rPr>
          <w:rFonts w:hint="eastAsia" w:ascii="宋体" w:hAnsi="宋体" w:eastAsia="宋体" w:cs="宋体"/>
          <w:snapToGrid w:val="0"/>
          <w:color w:val="auto"/>
          <w:spacing w:val="0"/>
          <w:w w:val="100"/>
          <w:kern w:val="0"/>
          <w:sz w:val="24"/>
          <w:szCs w:val="24"/>
          <w:lang w:eastAsia="en-US" w:bidi="ar"/>
        </w:rPr>
        <w:t>为本项目提供的所有产品及辅材须符合现行的强制性国家标准、行业标准</w:t>
      </w:r>
    </w:p>
    <w:p w14:paraId="2355D40C">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3、货物制造质量出现问题，乙方应负责三包（包修、包换、包退），费用由乙方负担，甲方有权到乙方生产场地检查货物质量和生产进度。</w:t>
      </w:r>
    </w:p>
    <w:p w14:paraId="120C589B">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4、货到现场后由于甲方保管不当造成的质量问题，乙方亦应负责修理，但 费用由甲方负担。</w:t>
      </w:r>
    </w:p>
    <w:p w14:paraId="03275ACD">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val="en-US" w:eastAsia="zh-CN"/>
        </w:rPr>
        <w:t>5、</w:t>
      </w:r>
      <w:r>
        <w:rPr>
          <w:rFonts w:hint="eastAsia" w:ascii="宋体" w:hAnsi="宋体" w:eastAsia="宋体" w:cs="宋体"/>
          <w:snapToGrid w:val="0"/>
          <w:color w:val="auto"/>
          <w:spacing w:val="0"/>
          <w:w w:val="100"/>
          <w:kern w:val="0"/>
          <w:sz w:val="24"/>
          <w:szCs w:val="24"/>
          <w:lang w:eastAsia="zh-CN" w:bidi="ar"/>
        </w:rPr>
        <w:t>非甲方原因，</w:t>
      </w:r>
      <w:r>
        <w:rPr>
          <w:rFonts w:hint="eastAsia" w:ascii="宋体" w:hAnsi="宋体" w:eastAsia="宋体" w:cs="宋体"/>
          <w:snapToGrid w:val="0"/>
          <w:color w:val="auto"/>
          <w:spacing w:val="0"/>
          <w:w w:val="100"/>
          <w:kern w:val="0"/>
          <w:sz w:val="24"/>
          <w:szCs w:val="24"/>
          <w:lang w:eastAsia="en-US" w:bidi="ar"/>
        </w:rPr>
        <w:t>项目实施过程中的安全责任以及造成的后果和损失由</w:t>
      </w:r>
      <w:r>
        <w:rPr>
          <w:rFonts w:hint="eastAsia" w:ascii="宋体" w:hAnsi="宋体" w:eastAsia="宋体" w:cs="宋体"/>
          <w:snapToGrid w:val="0"/>
          <w:color w:val="auto"/>
          <w:spacing w:val="0"/>
          <w:w w:val="100"/>
          <w:kern w:val="0"/>
          <w:sz w:val="24"/>
          <w:szCs w:val="24"/>
          <w:lang w:eastAsia="zh-CN" w:bidi="ar"/>
        </w:rPr>
        <w:t>乙方</w:t>
      </w:r>
      <w:r>
        <w:rPr>
          <w:rFonts w:hint="eastAsia" w:ascii="宋体" w:hAnsi="宋体" w:eastAsia="宋体" w:cs="宋体"/>
          <w:snapToGrid w:val="0"/>
          <w:color w:val="auto"/>
          <w:spacing w:val="0"/>
          <w:w w:val="100"/>
          <w:kern w:val="0"/>
          <w:sz w:val="24"/>
          <w:szCs w:val="24"/>
          <w:lang w:eastAsia="en-US" w:bidi="ar"/>
        </w:rPr>
        <w:t>负责，</w:t>
      </w:r>
      <w:r>
        <w:rPr>
          <w:rFonts w:hint="eastAsia" w:ascii="宋体" w:hAnsi="宋体" w:eastAsia="宋体" w:cs="宋体"/>
          <w:snapToGrid w:val="0"/>
          <w:color w:val="auto"/>
          <w:spacing w:val="0"/>
          <w:w w:val="100"/>
          <w:kern w:val="0"/>
          <w:sz w:val="24"/>
          <w:szCs w:val="24"/>
          <w:lang w:eastAsia="zh-CN" w:bidi="ar"/>
        </w:rPr>
        <w:t>甲方</w:t>
      </w:r>
      <w:r>
        <w:rPr>
          <w:rFonts w:hint="eastAsia" w:ascii="宋体" w:hAnsi="宋体" w:eastAsia="宋体" w:cs="宋体"/>
          <w:snapToGrid w:val="0"/>
          <w:color w:val="auto"/>
          <w:spacing w:val="0"/>
          <w:w w:val="100"/>
          <w:kern w:val="0"/>
          <w:sz w:val="24"/>
          <w:szCs w:val="24"/>
          <w:lang w:eastAsia="en-US" w:bidi="ar"/>
        </w:rPr>
        <w:t>不承担任何安全责任。</w:t>
      </w:r>
    </w:p>
    <w:p w14:paraId="656E7183">
      <w:pPr>
        <w:keepNext w:val="0"/>
        <w:keepLines w:val="0"/>
        <w:pageBreakBefore w:val="0"/>
        <w:widowControl w:val="0"/>
        <w:kinsoku/>
        <w:wordWrap/>
        <w:overflowPunct w:val="0"/>
        <w:topLinePunct w:val="0"/>
        <w:autoSpaceDE/>
        <w:autoSpaceDN/>
        <w:bidi w:val="0"/>
        <w:adjustRightInd/>
        <w:snapToGrid/>
        <w:spacing w:line="360" w:lineRule="auto"/>
        <w:ind w:left="0" w:right="0" w:firstLine="482"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b/>
          <w:bCs/>
          <w:snapToGrid w:val="0"/>
          <w:color w:val="000000"/>
          <w:spacing w:val="0"/>
          <w:w w:val="100"/>
          <w:kern w:val="0"/>
          <w:sz w:val="24"/>
          <w:szCs w:val="24"/>
          <w:lang w:eastAsia="en-US"/>
        </w:rPr>
        <w:t>四、交货及验收</w:t>
      </w:r>
    </w:p>
    <w:p w14:paraId="40218E97">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1、乙方合同签订生效后</w:t>
      </w:r>
      <w:r>
        <w:rPr>
          <w:rFonts w:hint="eastAsia" w:ascii="宋体" w:hAnsi="宋体" w:eastAsia="宋体" w:cs="宋体"/>
          <w:snapToGrid w:val="0"/>
          <w:color w:val="000000"/>
          <w:spacing w:val="0"/>
          <w:w w:val="100"/>
          <w:kern w:val="0"/>
          <w:sz w:val="24"/>
          <w:szCs w:val="24"/>
          <w:lang w:val="en-US" w:eastAsia="zh-CN"/>
        </w:rPr>
        <w:t>10日内</w:t>
      </w:r>
      <w:r>
        <w:rPr>
          <w:rFonts w:hint="eastAsia" w:ascii="宋体" w:hAnsi="宋体" w:eastAsia="宋体" w:cs="宋体"/>
          <w:snapToGrid w:val="0"/>
          <w:color w:val="auto"/>
          <w:spacing w:val="0"/>
          <w:w w:val="100"/>
          <w:kern w:val="0"/>
          <w:sz w:val="24"/>
          <w:szCs w:val="24"/>
          <w:lang w:eastAsia="en-US" w:bidi="ar"/>
        </w:rPr>
        <w:t>，根据现场实际情况、井道数据及</w:t>
      </w:r>
      <w:r>
        <w:rPr>
          <w:rFonts w:hint="eastAsia" w:ascii="宋体" w:hAnsi="宋体" w:eastAsia="宋体" w:cs="宋体"/>
          <w:snapToGrid w:val="0"/>
          <w:color w:val="auto"/>
          <w:spacing w:val="0"/>
          <w:w w:val="100"/>
          <w:kern w:val="0"/>
          <w:sz w:val="24"/>
          <w:szCs w:val="24"/>
          <w:lang w:eastAsia="zh-CN" w:bidi="ar"/>
        </w:rPr>
        <w:t>甲方</w:t>
      </w:r>
      <w:r>
        <w:rPr>
          <w:rFonts w:hint="eastAsia" w:ascii="宋体" w:hAnsi="宋体" w:eastAsia="宋体" w:cs="宋体"/>
          <w:snapToGrid w:val="0"/>
          <w:color w:val="auto"/>
          <w:spacing w:val="0"/>
          <w:w w:val="100"/>
          <w:kern w:val="0"/>
          <w:sz w:val="24"/>
          <w:szCs w:val="24"/>
          <w:lang w:eastAsia="en-US" w:bidi="ar"/>
        </w:rPr>
        <w:t>使用需求，完成电梯深化设计图、深化设计图须符合国家相关要求</w:t>
      </w:r>
      <w:r>
        <w:rPr>
          <w:rFonts w:hint="eastAsia" w:ascii="宋体" w:hAnsi="宋体" w:eastAsia="宋体" w:cs="宋体"/>
          <w:snapToGrid w:val="0"/>
          <w:color w:val="000000"/>
          <w:spacing w:val="0"/>
          <w:w w:val="100"/>
          <w:kern w:val="0"/>
          <w:sz w:val="24"/>
          <w:szCs w:val="24"/>
          <w:lang w:val="en-US" w:eastAsia="zh-CN"/>
        </w:rPr>
        <w:t>。</w:t>
      </w:r>
      <w:r>
        <w:rPr>
          <w:rFonts w:hint="eastAsia" w:ascii="宋体" w:hAnsi="宋体" w:eastAsia="宋体" w:cs="宋体"/>
          <w:snapToGrid w:val="0"/>
          <w:color w:val="000000"/>
          <w:spacing w:val="0"/>
          <w:w w:val="100"/>
          <w:kern w:val="0"/>
          <w:sz w:val="24"/>
          <w:szCs w:val="24"/>
          <w:lang w:eastAsia="en-US"/>
        </w:rPr>
        <w:t xml:space="preserve">随即应在 </w:t>
      </w:r>
      <w:r>
        <w:rPr>
          <w:rFonts w:hint="eastAsia" w:ascii="宋体" w:hAnsi="宋体" w:eastAsia="宋体" w:cs="宋体"/>
          <w:snapToGrid w:val="0"/>
          <w:color w:val="000000"/>
          <w:spacing w:val="0"/>
          <w:w w:val="100"/>
          <w:kern w:val="0"/>
          <w:sz w:val="24"/>
          <w:szCs w:val="24"/>
          <w:lang w:val="en-US" w:eastAsia="zh-CN"/>
        </w:rPr>
        <w:t>2025</w:t>
      </w:r>
      <w:r>
        <w:rPr>
          <w:rFonts w:hint="eastAsia" w:ascii="宋体" w:hAnsi="宋体" w:eastAsia="宋体" w:cs="宋体"/>
          <w:snapToGrid w:val="0"/>
          <w:color w:val="000000"/>
          <w:spacing w:val="0"/>
          <w:w w:val="100"/>
          <w:kern w:val="0"/>
          <w:sz w:val="24"/>
          <w:szCs w:val="24"/>
          <w:lang w:eastAsia="en-US"/>
        </w:rPr>
        <w:t>年</w:t>
      </w:r>
      <w:r>
        <w:rPr>
          <w:rFonts w:hint="eastAsia" w:ascii="宋体" w:hAnsi="宋体" w:eastAsia="宋体" w:cs="宋体"/>
          <w:snapToGrid w:val="0"/>
          <w:color w:val="000000"/>
          <w:spacing w:val="0"/>
          <w:w w:val="100"/>
          <w:kern w:val="0"/>
          <w:sz w:val="24"/>
          <w:szCs w:val="24"/>
          <w:lang w:val="en-US" w:eastAsia="zh-CN"/>
        </w:rPr>
        <w:t>12</w:t>
      </w:r>
      <w:r>
        <w:rPr>
          <w:rFonts w:hint="eastAsia" w:ascii="宋体" w:hAnsi="宋体" w:eastAsia="宋体" w:cs="宋体"/>
          <w:snapToGrid w:val="0"/>
          <w:color w:val="000000"/>
          <w:spacing w:val="0"/>
          <w:w w:val="100"/>
          <w:kern w:val="0"/>
          <w:sz w:val="24"/>
          <w:szCs w:val="24"/>
          <w:lang w:eastAsia="en-US"/>
        </w:rPr>
        <w:t>月</w:t>
      </w:r>
      <w:r>
        <w:rPr>
          <w:rFonts w:hint="eastAsia" w:ascii="宋体" w:hAnsi="宋体" w:eastAsia="宋体" w:cs="宋体"/>
          <w:snapToGrid w:val="0"/>
          <w:color w:val="000000"/>
          <w:spacing w:val="0"/>
          <w:w w:val="100"/>
          <w:kern w:val="0"/>
          <w:sz w:val="24"/>
          <w:szCs w:val="24"/>
          <w:lang w:val="en-US" w:eastAsia="zh-CN"/>
        </w:rPr>
        <w:t>15</w:t>
      </w:r>
      <w:r>
        <w:rPr>
          <w:rFonts w:hint="eastAsia" w:ascii="宋体" w:hAnsi="宋体" w:eastAsia="宋体" w:cs="宋体"/>
          <w:snapToGrid w:val="0"/>
          <w:color w:val="000000"/>
          <w:spacing w:val="0"/>
          <w:w w:val="100"/>
          <w:kern w:val="0"/>
          <w:sz w:val="24"/>
          <w:szCs w:val="24"/>
          <w:lang w:eastAsia="en-US"/>
        </w:rPr>
        <w:t>日前全部完成安装调试验收合格交付使用（如由于甲方的原因造成合同延迟签订或验收的，时间顺延）。交货验收时须提供产品质检部门从同类产品中抽样检查合格的检测报告。</w:t>
      </w:r>
    </w:p>
    <w:p w14:paraId="107F5FAC">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2、工程竣工后，由</w:t>
      </w:r>
      <w:r>
        <w:rPr>
          <w:rFonts w:hint="eastAsia" w:ascii="宋体" w:hAnsi="宋体" w:eastAsia="宋体" w:cs="宋体"/>
          <w:snapToGrid w:val="0"/>
          <w:color w:val="000000"/>
          <w:spacing w:val="0"/>
          <w:w w:val="100"/>
          <w:kern w:val="0"/>
          <w:sz w:val="24"/>
          <w:szCs w:val="24"/>
          <w:lang w:eastAsia="zh-CN"/>
        </w:rPr>
        <w:t>乙方</w:t>
      </w:r>
      <w:r>
        <w:rPr>
          <w:rFonts w:hint="eastAsia" w:ascii="宋体" w:hAnsi="宋体" w:eastAsia="宋体" w:cs="宋体"/>
          <w:snapToGrid w:val="0"/>
          <w:color w:val="000000"/>
          <w:spacing w:val="0"/>
          <w:w w:val="100"/>
          <w:kern w:val="0"/>
          <w:sz w:val="24"/>
          <w:szCs w:val="24"/>
          <w:lang w:eastAsia="en-US"/>
        </w:rPr>
        <w:t>向</w:t>
      </w:r>
      <w:r>
        <w:rPr>
          <w:rFonts w:hint="eastAsia" w:ascii="宋体" w:hAnsi="宋体" w:eastAsia="宋体" w:cs="宋体"/>
          <w:snapToGrid w:val="0"/>
          <w:color w:val="000000"/>
          <w:spacing w:val="0"/>
          <w:w w:val="100"/>
          <w:kern w:val="0"/>
          <w:sz w:val="24"/>
          <w:szCs w:val="24"/>
          <w:lang w:eastAsia="zh-CN"/>
        </w:rPr>
        <w:t>甲方</w:t>
      </w:r>
      <w:r>
        <w:rPr>
          <w:rFonts w:hint="eastAsia" w:ascii="宋体" w:hAnsi="宋体" w:eastAsia="宋体" w:cs="宋体"/>
          <w:snapToGrid w:val="0"/>
          <w:color w:val="000000"/>
          <w:spacing w:val="0"/>
          <w:w w:val="100"/>
          <w:kern w:val="0"/>
          <w:sz w:val="24"/>
          <w:szCs w:val="24"/>
          <w:lang w:eastAsia="en-US"/>
        </w:rPr>
        <w:t>提出验收申请，</w:t>
      </w:r>
      <w:r>
        <w:rPr>
          <w:rFonts w:hint="eastAsia" w:ascii="宋体" w:hAnsi="宋体" w:eastAsia="宋体" w:cs="宋体"/>
          <w:snapToGrid w:val="0"/>
          <w:color w:val="000000"/>
          <w:spacing w:val="0"/>
          <w:w w:val="100"/>
          <w:kern w:val="0"/>
          <w:sz w:val="24"/>
          <w:szCs w:val="24"/>
          <w:lang w:eastAsia="zh-CN"/>
        </w:rPr>
        <w:t>乙方</w:t>
      </w:r>
      <w:r>
        <w:rPr>
          <w:rFonts w:hint="eastAsia" w:ascii="宋体" w:hAnsi="宋体" w:eastAsia="宋体" w:cs="宋体"/>
          <w:snapToGrid w:val="0"/>
          <w:color w:val="000000"/>
          <w:spacing w:val="0"/>
          <w:w w:val="100"/>
          <w:kern w:val="0"/>
          <w:sz w:val="24"/>
          <w:szCs w:val="24"/>
          <w:lang w:eastAsia="en-US"/>
        </w:rPr>
        <w:t>组织、设计、施工、电梯安装等单位进行竣工验收，</w:t>
      </w:r>
      <w:r>
        <w:rPr>
          <w:rFonts w:hint="eastAsia" w:ascii="宋体" w:hAnsi="宋体" w:eastAsia="宋体" w:cs="宋体"/>
          <w:snapToGrid w:val="0"/>
          <w:color w:val="000000"/>
          <w:spacing w:val="0"/>
          <w:w w:val="100"/>
          <w:kern w:val="0"/>
          <w:sz w:val="24"/>
          <w:szCs w:val="24"/>
          <w:lang w:eastAsia="zh-CN"/>
        </w:rPr>
        <w:t>甲方</w:t>
      </w:r>
      <w:r>
        <w:rPr>
          <w:rFonts w:hint="eastAsia" w:ascii="宋体" w:hAnsi="宋体" w:eastAsia="宋体" w:cs="宋体"/>
          <w:snapToGrid w:val="0"/>
          <w:color w:val="000000"/>
          <w:spacing w:val="0"/>
          <w:w w:val="100"/>
          <w:kern w:val="0"/>
          <w:sz w:val="24"/>
          <w:szCs w:val="24"/>
          <w:lang w:eastAsia="en-US"/>
        </w:rPr>
        <w:t>监督审核。自验收合格，并取得当地政府相关部门出具验收合格的建设工程竣工验收报告、特种设备审验合格的电梯监督检验报告和电梯使用许可证，本工程竣工验收合格后投入使用。</w:t>
      </w:r>
    </w:p>
    <w:p w14:paraId="6284829E">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val="en-US" w:eastAsia="zh-CN"/>
        </w:rPr>
        <w:t>3</w:t>
      </w:r>
      <w:r>
        <w:rPr>
          <w:rFonts w:hint="eastAsia" w:ascii="宋体" w:hAnsi="宋体" w:eastAsia="宋体" w:cs="宋体"/>
          <w:snapToGrid w:val="0"/>
          <w:color w:val="000000"/>
          <w:spacing w:val="0"/>
          <w:w w:val="100"/>
          <w:kern w:val="0"/>
          <w:sz w:val="24"/>
          <w:szCs w:val="24"/>
          <w:lang w:eastAsia="en-US"/>
        </w:rPr>
        <w:t>、乙方应将所提供货物的装箱清单、配件、随机工具、用户使用手册、原 厂保修卡等资料交付给甲方；乙方不能完整交付货物及本款约定的单证和工具 的，必须负责补齐，否则视为未按合同约定交货。</w:t>
      </w:r>
    </w:p>
    <w:p w14:paraId="2EF52BAD">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val="en-US" w:eastAsia="zh-CN"/>
        </w:rPr>
        <w:t>4</w:t>
      </w:r>
      <w:r>
        <w:rPr>
          <w:rFonts w:hint="eastAsia" w:ascii="宋体" w:hAnsi="宋体" w:eastAsia="宋体" w:cs="宋体"/>
          <w:snapToGrid w:val="0"/>
          <w:color w:val="000000"/>
          <w:spacing w:val="0"/>
          <w:w w:val="100"/>
          <w:kern w:val="0"/>
          <w:sz w:val="24"/>
          <w:szCs w:val="24"/>
          <w:lang w:eastAsia="en-US"/>
        </w:rPr>
        <w:t xml:space="preserve">、如货物经乙方 </w:t>
      </w:r>
      <w:r>
        <w:rPr>
          <w:rFonts w:hint="eastAsia" w:ascii="宋体" w:hAnsi="宋体" w:eastAsia="宋体" w:cs="宋体"/>
          <w:snapToGrid w:val="0"/>
          <w:color w:val="000000"/>
          <w:spacing w:val="0"/>
          <w:w w:val="100"/>
          <w:kern w:val="0"/>
          <w:sz w:val="24"/>
          <w:szCs w:val="24"/>
          <w:u w:val="single" w:color="auto"/>
          <w:lang w:eastAsia="en-US"/>
        </w:rPr>
        <w:t xml:space="preserve"> </w:t>
      </w:r>
      <w:r>
        <w:rPr>
          <w:rFonts w:hint="eastAsia" w:ascii="宋体" w:hAnsi="宋体" w:eastAsia="宋体" w:cs="宋体"/>
          <w:snapToGrid w:val="0"/>
          <w:color w:val="000000"/>
          <w:spacing w:val="0"/>
          <w:w w:val="100"/>
          <w:kern w:val="0"/>
          <w:sz w:val="24"/>
          <w:szCs w:val="24"/>
          <w:u w:val="single" w:color="auto"/>
          <w:lang w:val="en-US" w:eastAsia="zh-CN"/>
        </w:rPr>
        <w:t>3</w:t>
      </w:r>
      <w:r>
        <w:rPr>
          <w:rFonts w:hint="eastAsia" w:ascii="宋体" w:hAnsi="宋体" w:eastAsia="宋体" w:cs="宋体"/>
          <w:snapToGrid w:val="0"/>
          <w:color w:val="000000"/>
          <w:spacing w:val="0"/>
          <w:w w:val="100"/>
          <w:kern w:val="0"/>
          <w:sz w:val="24"/>
          <w:szCs w:val="24"/>
          <w:u w:val="single" w:color="auto"/>
          <w:lang w:eastAsia="en-US"/>
        </w:rPr>
        <w:t xml:space="preserve"> </w:t>
      </w:r>
      <w:r>
        <w:rPr>
          <w:rFonts w:hint="eastAsia" w:ascii="宋体" w:hAnsi="宋体" w:eastAsia="宋体" w:cs="宋体"/>
          <w:snapToGrid w:val="0"/>
          <w:color w:val="000000"/>
          <w:spacing w:val="0"/>
          <w:w w:val="100"/>
          <w:kern w:val="0"/>
          <w:sz w:val="24"/>
          <w:szCs w:val="24"/>
          <w:lang w:eastAsia="en-US"/>
        </w:rPr>
        <w:t xml:space="preserve"> 次维修仍不能达到合同约定的质量标准，甲方有权退货， 并视作乙方不能交付货物而须支付违约赔偿金给甲方，甲方还可依法追究乙方的 违约责任。</w:t>
      </w:r>
    </w:p>
    <w:p w14:paraId="1F55B0B0">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val="en-US" w:eastAsia="zh-CN"/>
        </w:rPr>
        <w:t>5</w:t>
      </w:r>
      <w:r>
        <w:rPr>
          <w:rFonts w:hint="eastAsia" w:ascii="宋体" w:hAnsi="宋体" w:eastAsia="宋体" w:cs="宋体"/>
          <w:snapToGrid w:val="0"/>
          <w:color w:val="000000"/>
          <w:spacing w:val="0"/>
          <w:w w:val="100"/>
          <w:kern w:val="0"/>
          <w:sz w:val="24"/>
          <w:szCs w:val="24"/>
          <w:lang w:eastAsia="en-US"/>
        </w:rPr>
        <w:t>、本合同项下交货及验收的其他未尽事宜应严格按照政府采购相关法律法  规以及《财政部关于进一步加强政府采购需求和履约验收管理的指导意见》（财  库〔2016〕205 号），参照《四川省政府采购项目需求论证和履约验收管理办法》 （川财采〔2015〕32 号）的要求进行。</w:t>
      </w:r>
    </w:p>
    <w:p w14:paraId="5B87C14F">
      <w:pPr>
        <w:keepNext w:val="0"/>
        <w:keepLines w:val="0"/>
        <w:pageBreakBefore w:val="0"/>
        <w:widowControl w:val="0"/>
        <w:kinsoku/>
        <w:wordWrap/>
        <w:overflowPunct w:val="0"/>
        <w:topLinePunct w:val="0"/>
        <w:autoSpaceDE/>
        <w:autoSpaceDN/>
        <w:bidi w:val="0"/>
        <w:adjustRightInd/>
        <w:snapToGrid/>
        <w:spacing w:line="360" w:lineRule="auto"/>
        <w:ind w:left="0" w:right="0" w:firstLine="482"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b/>
          <w:bCs/>
          <w:snapToGrid w:val="0"/>
          <w:color w:val="000000"/>
          <w:spacing w:val="0"/>
          <w:w w:val="100"/>
          <w:kern w:val="0"/>
          <w:sz w:val="24"/>
          <w:szCs w:val="24"/>
          <w:lang w:eastAsia="en-US"/>
        </w:rPr>
        <w:t>五、付款方式</w:t>
      </w:r>
    </w:p>
    <w:p w14:paraId="4E261EC0">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1</w:t>
      </w:r>
      <w:r>
        <w:rPr>
          <w:rFonts w:hint="eastAsia" w:ascii="宋体" w:hAnsi="宋体" w:eastAsia="宋体" w:cs="宋体"/>
          <w:snapToGrid w:val="0"/>
          <w:color w:val="000000"/>
          <w:spacing w:val="0"/>
          <w:w w:val="100"/>
          <w:kern w:val="0"/>
          <w:sz w:val="24"/>
          <w:szCs w:val="24"/>
          <w:lang w:eastAsia="zh-CN"/>
        </w:rPr>
        <w:t>、</w:t>
      </w:r>
      <w:r>
        <w:rPr>
          <w:rFonts w:hint="eastAsia" w:ascii="宋体" w:hAnsi="宋体" w:eastAsia="宋体" w:cs="宋体"/>
          <w:snapToGrid w:val="0"/>
          <w:color w:val="000000"/>
          <w:spacing w:val="0"/>
          <w:w w:val="100"/>
          <w:kern w:val="0"/>
          <w:sz w:val="24"/>
          <w:szCs w:val="24"/>
          <w:lang w:eastAsia="en-US"/>
        </w:rPr>
        <w:t xml:space="preserve">甲方在本合同签订生效之日起接到乙方通知和票据凭证资料以及乙方交 给甲方的合同履约保证金后的 </w:t>
      </w:r>
      <w:r>
        <w:rPr>
          <w:rFonts w:hint="eastAsia" w:ascii="宋体" w:hAnsi="宋体" w:eastAsia="宋体" w:cs="宋体"/>
          <w:snapToGrid w:val="0"/>
          <w:color w:val="000000"/>
          <w:spacing w:val="0"/>
          <w:w w:val="100"/>
          <w:kern w:val="0"/>
          <w:sz w:val="24"/>
          <w:szCs w:val="24"/>
          <w:lang w:val="en-US" w:eastAsia="zh-CN"/>
        </w:rPr>
        <w:t xml:space="preserve">10 </w:t>
      </w:r>
      <w:r>
        <w:rPr>
          <w:rFonts w:hint="eastAsia" w:ascii="宋体" w:hAnsi="宋体" w:eastAsia="宋体" w:cs="宋体"/>
          <w:snapToGrid w:val="0"/>
          <w:color w:val="000000"/>
          <w:spacing w:val="0"/>
          <w:w w:val="100"/>
          <w:kern w:val="0"/>
          <w:sz w:val="24"/>
          <w:szCs w:val="24"/>
          <w:lang w:eastAsia="en-US"/>
        </w:rPr>
        <w:t>日内支付合同金额百分之四十的价款。</w:t>
      </w:r>
    </w:p>
    <w:p w14:paraId="4F3088A6">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zh-CN"/>
        </w:rPr>
      </w:pPr>
      <w:r>
        <w:rPr>
          <w:rFonts w:hint="eastAsia" w:ascii="宋体" w:hAnsi="宋体" w:eastAsia="宋体" w:cs="宋体"/>
          <w:snapToGrid w:val="0"/>
          <w:color w:val="000000"/>
          <w:spacing w:val="0"/>
          <w:w w:val="100"/>
          <w:kern w:val="0"/>
          <w:sz w:val="24"/>
          <w:szCs w:val="24"/>
          <w:lang w:val="en-US" w:eastAsia="zh-CN"/>
        </w:rPr>
        <w:t>2、电梯</w:t>
      </w:r>
      <w:r>
        <w:rPr>
          <w:rFonts w:hint="eastAsia" w:ascii="宋体" w:hAnsi="宋体" w:eastAsia="宋体" w:cs="宋体"/>
          <w:snapToGrid w:val="0"/>
          <w:color w:val="000000"/>
          <w:kern w:val="0"/>
          <w:sz w:val="24"/>
          <w:szCs w:val="24"/>
          <w:lang w:val="en-US" w:eastAsia="zh-CN" w:bidi="ar-SA"/>
        </w:rPr>
        <w:t>安装完工，</w:t>
      </w:r>
      <w:r>
        <w:rPr>
          <w:rFonts w:hint="eastAsia" w:ascii="宋体" w:hAnsi="宋体" w:eastAsia="宋体" w:cs="宋体"/>
          <w:snapToGrid w:val="0"/>
          <w:color w:val="000000"/>
          <w:spacing w:val="0"/>
          <w:w w:val="100"/>
          <w:kern w:val="0"/>
          <w:sz w:val="24"/>
          <w:szCs w:val="24"/>
          <w:lang w:eastAsia="en-US"/>
        </w:rPr>
        <w:t xml:space="preserve">甲方接到乙方通知与票据凭证 资料以后的 </w:t>
      </w:r>
      <w:r>
        <w:rPr>
          <w:rFonts w:hint="eastAsia" w:ascii="宋体" w:hAnsi="宋体" w:eastAsia="宋体" w:cs="宋体"/>
          <w:snapToGrid w:val="0"/>
          <w:color w:val="000000"/>
          <w:kern w:val="0"/>
          <w:sz w:val="24"/>
          <w:szCs w:val="24"/>
          <w:lang w:val="en-US" w:eastAsia="zh-CN" w:bidi="ar-SA"/>
        </w:rPr>
        <w:t>10日内，支付合同金额百分之五十的价款。</w:t>
      </w:r>
    </w:p>
    <w:p w14:paraId="673258C1">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val="en-US" w:eastAsia="zh-CN"/>
        </w:rPr>
        <w:t>3、</w:t>
      </w:r>
      <w:r>
        <w:rPr>
          <w:rFonts w:hint="eastAsia" w:ascii="宋体" w:hAnsi="宋体" w:eastAsia="宋体" w:cs="宋体"/>
          <w:snapToGrid w:val="0"/>
          <w:color w:val="000000"/>
          <w:spacing w:val="0"/>
          <w:w w:val="100"/>
          <w:kern w:val="0"/>
          <w:sz w:val="24"/>
          <w:szCs w:val="24"/>
          <w:lang w:eastAsia="en-US"/>
        </w:rPr>
        <w:t xml:space="preserve">全部货物安装调试完毕并验收合格之日起，甲方接到乙方通知与票据凭证 资料以后的 </w:t>
      </w:r>
      <w:r>
        <w:rPr>
          <w:rFonts w:hint="eastAsia" w:ascii="宋体" w:hAnsi="宋体" w:eastAsia="宋体" w:cs="宋体"/>
          <w:snapToGrid w:val="0"/>
          <w:color w:val="000000"/>
          <w:spacing w:val="0"/>
          <w:w w:val="100"/>
          <w:kern w:val="0"/>
          <w:sz w:val="24"/>
          <w:szCs w:val="24"/>
          <w:lang w:val="en-US" w:eastAsia="zh-CN"/>
        </w:rPr>
        <w:t>10</w:t>
      </w:r>
      <w:r>
        <w:rPr>
          <w:rFonts w:hint="eastAsia" w:ascii="宋体" w:hAnsi="宋体" w:eastAsia="宋体" w:cs="宋体"/>
          <w:snapToGrid w:val="0"/>
          <w:color w:val="000000"/>
          <w:spacing w:val="0"/>
          <w:w w:val="100"/>
          <w:kern w:val="0"/>
          <w:sz w:val="24"/>
          <w:szCs w:val="24"/>
          <w:lang w:eastAsia="en-US"/>
        </w:rPr>
        <w:t xml:space="preserve"> 日内，支付合同金额百分之十的价款。</w:t>
      </w:r>
    </w:p>
    <w:p w14:paraId="2C966FE9">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val="en-US" w:eastAsia="zh-CN"/>
        </w:rPr>
        <w:t>4</w:t>
      </w:r>
      <w:r>
        <w:rPr>
          <w:rFonts w:hint="eastAsia" w:ascii="宋体" w:hAnsi="宋体" w:eastAsia="宋体" w:cs="宋体"/>
          <w:snapToGrid w:val="0"/>
          <w:color w:val="000000"/>
          <w:spacing w:val="0"/>
          <w:w w:val="100"/>
          <w:kern w:val="0"/>
          <w:sz w:val="24"/>
          <w:szCs w:val="24"/>
          <w:lang w:eastAsia="en-US"/>
        </w:rPr>
        <w:t>、甲方支付本合同价款前，乙方应当向甲方开具与支付金额等额且合法有 效的增值税发票；否则，甲方有权延期付款，且不因此承担任何违约责任。</w:t>
      </w:r>
    </w:p>
    <w:p w14:paraId="066B317D">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val="en-US" w:eastAsia="zh-CN"/>
        </w:rPr>
        <w:t>5</w:t>
      </w:r>
      <w:r>
        <w:rPr>
          <w:rFonts w:hint="eastAsia" w:ascii="宋体" w:hAnsi="宋体" w:eastAsia="宋体" w:cs="宋体"/>
          <w:snapToGrid w:val="0"/>
          <w:color w:val="000000"/>
          <w:spacing w:val="0"/>
          <w:w w:val="100"/>
          <w:kern w:val="0"/>
          <w:sz w:val="24"/>
          <w:szCs w:val="24"/>
          <w:lang w:eastAsia="en-US"/>
        </w:rPr>
        <w:t>、本合同项下乙方指定收款账户为：</w:t>
      </w:r>
    </w:p>
    <w:p w14:paraId="3CE465AB">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 xml:space="preserve">户  </w:t>
      </w:r>
      <w:r>
        <w:rPr>
          <w:rFonts w:hint="eastAsia" w:ascii="宋体" w:hAnsi="宋体" w:eastAsia="宋体" w:cs="宋体"/>
          <w:snapToGrid w:val="0"/>
          <w:color w:val="000000"/>
          <w:spacing w:val="0"/>
          <w:w w:val="100"/>
          <w:kern w:val="0"/>
          <w:sz w:val="24"/>
          <w:szCs w:val="24"/>
          <w:lang w:val="en-US" w:eastAsia="zh-CN"/>
        </w:rPr>
        <w:t xml:space="preserve">  </w:t>
      </w:r>
      <w:r>
        <w:rPr>
          <w:rFonts w:hint="eastAsia" w:ascii="宋体" w:hAnsi="宋体" w:eastAsia="宋体" w:cs="宋体"/>
          <w:snapToGrid w:val="0"/>
          <w:color w:val="000000"/>
          <w:spacing w:val="0"/>
          <w:w w:val="100"/>
          <w:kern w:val="0"/>
          <w:sz w:val="24"/>
          <w:szCs w:val="24"/>
          <w:lang w:eastAsia="en-US"/>
        </w:rPr>
        <w:t>名：***</w:t>
      </w:r>
    </w:p>
    <w:p w14:paraId="1E3AFE2F">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开户行：***</w:t>
      </w:r>
    </w:p>
    <w:p w14:paraId="2223AD1F">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 xml:space="preserve">账  </w:t>
      </w:r>
      <w:r>
        <w:rPr>
          <w:rFonts w:hint="eastAsia" w:ascii="宋体" w:hAnsi="宋体" w:eastAsia="宋体" w:cs="宋体"/>
          <w:snapToGrid w:val="0"/>
          <w:color w:val="000000"/>
          <w:spacing w:val="0"/>
          <w:w w:val="100"/>
          <w:kern w:val="0"/>
          <w:sz w:val="24"/>
          <w:szCs w:val="24"/>
          <w:lang w:val="en-US" w:eastAsia="zh-CN"/>
        </w:rPr>
        <w:t xml:space="preserve">  </w:t>
      </w:r>
      <w:r>
        <w:rPr>
          <w:rFonts w:hint="eastAsia" w:ascii="宋体" w:hAnsi="宋体" w:eastAsia="宋体" w:cs="宋体"/>
          <w:snapToGrid w:val="0"/>
          <w:color w:val="000000"/>
          <w:spacing w:val="0"/>
          <w:w w:val="100"/>
          <w:kern w:val="0"/>
          <w:sz w:val="24"/>
          <w:szCs w:val="24"/>
          <w:lang w:eastAsia="en-US"/>
        </w:rPr>
        <w:t>号：***</w:t>
      </w:r>
    </w:p>
    <w:p w14:paraId="66124B51">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乙方保证上述账户信息真实、准确且为其合法账户，如有变更，须提前【不少于5个工作日】以书面形式通知甲方并经甲方书面确认方可生效；否则，甲方向上述原账户支付的，即视为已履行付款义务，因账户变更未及时通知或未经甲方确认导致的任何损失由乙方自行承担。</w:t>
      </w:r>
    </w:p>
    <w:p w14:paraId="6B603A83">
      <w:pPr>
        <w:keepNext w:val="0"/>
        <w:keepLines w:val="0"/>
        <w:pageBreakBefore w:val="0"/>
        <w:widowControl w:val="0"/>
        <w:kinsoku/>
        <w:wordWrap/>
        <w:overflowPunct w:val="0"/>
        <w:topLinePunct w:val="0"/>
        <w:autoSpaceDE/>
        <w:autoSpaceDN/>
        <w:bidi w:val="0"/>
        <w:adjustRightInd/>
        <w:snapToGrid/>
        <w:spacing w:line="360" w:lineRule="auto"/>
        <w:ind w:left="0" w:right="0" w:firstLine="482"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b/>
          <w:bCs/>
          <w:snapToGrid w:val="0"/>
          <w:color w:val="000000"/>
          <w:spacing w:val="0"/>
          <w:w w:val="100"/>
          <w:kern w:val="0"/>
          <w:sz w:val="24"/>
          <w:szCs w:val="24"/>
          <w:lang w:eastAsia="en-US"/>
        </w:rPr>
        <w:t>六、售后服务</w:t>
      </w:r>
    </w:p>
    <w:p w14:paraId="1EACA88C">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1、质保期为</w:t>
      </w:r>
      <w:r>
        <w:rPr>
          <w:rFonts w:hint="eastAsia" w:ascii="宋体" w:hAnsi="宋体" w:eastAsia="宋体" w:cs="宋体"/>
          <w:snapToGrid w:val="0"/>
          <w:color w:val="000000"/>
          <w:spacing w:val="0"/>
          <w:w w:val="100"/>
          <w:kern w:val="0"/>
          <w:sz w:val="24"/>
          <w:szCs w:val="24"/>
          <w:lang w:val="en-US" w:eastAsia="zh-CN" w:bidi="ar"/>
        </w:rPr>
        <w:t>整机质保期贰年，免费保养期壹年，其中乘客电梯的六大主要安全部件(主机、控制系统、门机、安全钳、限速器和缓冲器)提供五年质保</w:t>
      </w:r>
      <w:r>
        <w:rPr>
          <w:rFonts w:hint="eastAsia" w:ascii="宋体" w:hAnsi="宋体" w:eastAsia="宋体" w:cs="宋体"/>
          <w:snapToGrid w:val="0"/>
          <w:color w:val="000000"/>
          <w:spacing w:val="0"/>
          <w:w w:val="100"/>
          <w:kern w:val="0"/>
          <w:sz w:val="24"/>
          <w:szCs w:val="24"/>
          <w:lang w:eastAsia="zh-CN" w:bidi="ar"/>
        </w:rPr>
        <w:t>（国家对产品质保期另有规定，或乙方及制造商有书面承诺的，按较长期限执行，保修条款与本合同不一致的，按比较优胜的原则执行）。</w:t>
      </w:r>
      <w:r>
        <w:rPr>
          <w:rFonts w:hint="eastAsia" w:ascii="宋体" w:hAnsi="宋体" w:eastAsia="宋体" w:cs="宋体"/>
          <w:snapToGrid w:val="0"/>
          <w:color w:val="000000"/>
          <w:spacing w:val="0"/>
          <w:w w:val="100"/>
          <w:kern w:val="0"/>
          <w:sz w:val="24"/>
          <w:szCs w:val="24"/>
          <w:lang w:val="en-US" w:eastAsia="zh-CN" w:bidi="ar"/>
        </w:rPr>
        <w:t>质保期自工程竣工验收合格且取得结论为合格的电梯监督检验报告和电梯使用许可证之日起计算。</w:t>
      </w:r>
    </w:p>
    <w:p w14:paraId="10F03FDC">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val="en-US" w:eastAsia="zh-CN"/>
        </w:rPr>
        <w:t>2、</w:t>
      </w:r>
      <w:r>
        <w:rPr>
          <w:rFonts w:hint="eastAsia" w:ascii="宋体" w:hAnsi="宋体" w:eastAsia="宋体" w:cs="宋体"/>
          <w:snapToGrid w:val="0"/>
          <w:color w:val="000000"/>
          <w:spacing w:val="0"/>
          <w:w w:val="100"/>
          <w:kern w:val="0"/>
          <w:sz w:val="24"/>
          <w:szCs w:val="24"/>
          <w:lang w:eastAsia="en-US"/>
        </w:rPr>
        <w:t>质保期内出现质量问题，乙方在接到通知后48 小时内响应到场， 96 小时内完成维修或更换，并承担修理调换的费用；如货物经乙方</w:t>
      </w:r>
      <w:r>
        <w:rPr>
          <w:rFonts w:hint="eastAsia" w:ascii="宋体" w:hAnsi="宋体" w:eastAsia="宋体" w:cs="宋体"/>
          <w:snapToGrid w:val="0"/>
          <w:color w:val="000000"/>
          <w:spacing w:val="0"/>
          <w:w w:val="100"/>
          <w:kern w:val="0"/>
          <w:sz w:val="24"/>
          <w:szCs w:val="24"/>
          <w:u w:val="single"/>
          <w:lang w:eastAsia="en-US"/>
        </w:rPr>
        <w:t xml:space="preserve"> </w:t>
      </w:r>
      <w:r>
        <w:rPr>
          <w:rFonts w:hint="eastAsia" w:ascii="宋体" w:hAnsi="宋体" w:eastAsia="宋体" w:cs="宋体"/>
          <w:snapToGrid w:val="0"/>
          <w:color w:val="000000"/>
          <w:spacing w:val="0"/>
          <w:w w:val="100"/>
          <w:kern w:val="0"/>
          <w:sz w:val="24"/>
          <w:szCs w:val="24"/>
          <w:u w:val="single"/>
          <w:lang w:val="en-US" w:eastAsia="zh-CN"/>
        </w:rPr>
        <w:t xml:space="preserve">    </w:t>
      </w:r>
      <w:r>
        <w:rPr>
          <w:rFonts w:hint="eastAsia" w:ascii="宋体" w:hAnsi="宋体" w:eastAsia="宋体" w:cs="宋体"/>
          <w:snapToGrid w:val="0"/>
          <w:color w:val="000000"/>
          <w:spacing w:val="0"/>
          <w:w w:val="100"/>
          <w:kern w:val="0"/>
          <w:sz w:val="24"/>
          <w:szCs w:val="24"/>
          <w:lang w:eastAsia="en-US"/>
        </w:rPr>
        <w:t>次维修仍不能达到本合同约定的质量标准，视作乙方未能按时交货，甲方有权退货并追究乙方的违约责任。此外，乙方提供的售后服务还应当满足本合同项下项目的《</w:t>
      </w:r>
      <w:r>
        <w:rPr>
          <w:rFonts w:hint="eastAsia" w:ascii="宋体" w:hAnsi="宋体" w:eastAsia="宋体" w:cs="宋体"/>
          <w:snapToGrid w:val="0"/>
          <w:color w:val="000000"/>
          <w:spacing w:val="0"/>
          <w:w w:val="100"/>
          <w:kern w:val="0"/>
          <w:sz w:val="24"/>
          <w:szCs w:val="24"/>
          <w:lang w:eastAsia="zh-CN"/>
        </w:rPr>
        <w:t>招标</w:t>
      </w:r>
      <w:r>
        <w:rPr>
          <w:rFonts w:hint="eastAsia" w:ascii="宋体" w:hAnsi="宋体" w:eastAsia="宋体" w:cs="宋体"/>
          <w:snapToGrid w:val="0"/>
          <w:color w:val="000000"/>
          <w:spacing w:val="0"/>
          <w:w w:val="100"/>
          <w:kern w:val="0"/>
          <w:sz w:val="24"/>
          <w:szCs w:val="24"/>
          <w:lang w:eastAsia="en-US"/>
        </w:rPr>
        <w:t>文件》《</w:t>
      </w:r>
      <w:r>
        <w:rPr>
          <w:rFonts w:hint="eastAsia" w:ascii="宋体" w:hAnsi="宋体" w:eastAsia="宋体" w:cs="宋体"/>
          <w:snapToGrid w:val="0"/>
          <w:color w:val="000000"/>
          <w:spacing w:val="0"/>
          <w:w w:val="100"/>
          <w:kern w:val="0"/>
          <w:sz w:val="24"/>
          <w:szCs w:val="24"/>
          <w:lang w:eastAsia="zh-CN"/>
        </w:rPr>
        <w:t>投标</w:t>
      </w:r>
      <w:r>
        <w:rPr>
          <w:rFonts w:hint="eastAsia" w:ascii="宋体" w:hAnsi="宋体" w:eastAsia="宋体" w:cs="宋体"/>
          <w:snapToGrid w:val="0"/>
          <w:color w:val="000000"/>
          <w:spacing w:val="0"/>
          <w:w w:val="100"/>
          <w:kern w:val="0"/>
          <w:sz w:val="24"/>
          <w:szCs w:val="24"/>
          <w:lang w:eastAsia="en-US"/>
        </w:rPr>
        <w:t>文件》的相关要求。</w:t>
      </w:r>
    </w:p>
    <w:p w14:paraId="2E3B1CE6">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val="en-US" w:eastAsia="zh-CN"/>
        </w:rPr>
        <w:t>3</w:t>
      </w:r>
      <w:r>
        <w:rPr>
          <w:rFonts w:hint="eastAsia" w:ascii="宋体" w:hAnsi="宋体" w:eastAsia="宋体" w:cs="宋体"/>
          <w:snapToGrid w:val="0"/>
          <w:color w:val="000000"/>
          <w:spacing w:val="0"/>
          <w:w w:val="100"/>
          <w:kern w:val="0"/>
          <w:sz w:val="24"/>
          <w:szCs w:val="24"/>
          <w:lang w:eastAsia="en-US"/>
        </w:rPr>
        <w:t>、乙方须指派专人负责与甲方联系售后服务事宜。联系人：XXX，联系电话：XXXXXX。</w:t>
      </w:r>
    </w:p>
    <w:p w14:paraId="405E90EA">
      <w:pPr>
        <w:keepNext w:val="0"/>
        <w:keepLines w:val="0"/>
        <w:pageBreakBefore w:val="0"/>
        <w:widowControl w:val="0"/>
        <w:kinsoku/>
        <w:wordWrap/>
        <w:overflowPunct w:val="0"/>
        <w:topLinePunct w:val="0"/>
        <w:autoSpaceDE/>
        <w:autoSpaceDN/>
        <w:bidi w:val="0"/>
        <w:adjustRightInd/>
        <w:snapToGrid/>
        <w:spacing w:line="360" w:lineRule="auto"/>
        <w:ind w:left="0" w:right="0" w:firstLine="482"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b/>
          <w:bCs/>
          <w:snapToGrid w:val="0"/>
          <w:color w:val="000000"/>
          <w:spacing w:val="0"/>
          <w:w w:val="100"/>
          <w:kern w:val="0"/>
          <w:sz w:val="24"/>
          <w:szCs w:val="24"/>
          <w:lang w:eastAsia="en-US"/>
        </w:rPr>
        <w:t>七、违约责任</w:t>
      </w:r>
    </w:p>
    <w:p w14:paraId="7639745B">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1、甲方违约责任</w:t>
      </w:r>
    </w:p>
    <w:p w14:paraId="763107F2">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（1）甲方无正当理由拒收货物的，甲方应偿付合同总价百分之</w:t>
      </w:r>
      <w:r>
        <w:rPr>
          <w:rFonts w:hint="eastAsia" w:ascii="宋体" w:hAnsi="宋体" w:eastAsia="宋体" w:cs="宋体"/>
          <w:b/>
          <w:bCs/>
          <w:snapToGrid w:val="0"/>
          <w:color w:val="000000"/>
          <w:spacing w:val="0"/>
          <w:w w:val="100"/>
          <w:kern w:val="0"/>
          <w:sz w:val="24"/>
          <w:szCs w:val="24"/>
          <w:lang w:eastAsia="en-US"/>
        </w:rPr>
        <w:t>一</w:t>
      </w:r>
      <w:r>
        <w:rPr>
          <w:rFonts w:hint="eastAsia" w:ascii="宋体" w:hAnsi="宋体" w:eastAsia="宋体" w:cs="宋体"/>
          <w:snapToGrid w:val="0"/>
          <w:color w:val="000000"/>
          <w:spacing w:val="0"/>
          <w:w w:val="100"/>
          <w:kern w:val="0"/>
          <w:sz w:val="24"/>
          <w:szCs w:val="24"/>
          <w:lang w:eastAsia="en-US"/>
        </w:rPr>
        <w:t>的违约金；</w:t>
      </w:r>
    </w:p>
    <w:p w14:paraId="1DB7AB85">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（2）甲方逾期支付货款的，除应及时付足货款外，应向乙方偿付欠款总额 万分之</w:t>
      </w:r>
      <w:r>
        <w:rPr>
          <w:rFonts w:hint="eastAsia" w:ascii="宋体" w:hAnsi="宋体" w:eastAsia="宋体" w:cs="宋体"/>
          <w:snapToGrid w:val="0"/>
          <w:color w:val="000000"/>
          <w:spacing w:val="0"/>
          <w:w w:val="100"/>
          <w:kern w:val="0"/>
          <w:sz w:val="24"/>
          <w:szCs w:val="24"/>
          <w:u w:val="single" w:color="auto"/>
          <w:lang w:eastAsia="en-US"/>
        </w:rPr>
        <w:t>一</w:t>
      </w:r>
      <w:r>
        <w:rPr>
          <w:rFonts w:hint="eastAsia" w:ascii="宋体" w:hAnsi="宋体" w:eastAsia="宋体" w:cs="宋体"/>
          <w:snapToGrid w:val="0"/>
          <w:color w:val="000000"/>
          <w:spacing w:val="0"/>
          <w:w w:val="100"/>
          <w:kern w:val="0"/>
          <w:sz w:val="24"/>
          <w:szCs w:val="24"/>
          <w:lang w:eastAsia="en-US"/>
        </w:rPr>
        <w:t>/天的违约金；逾期付款超过</w:t>
      </w:r>
      <w:r>
        <w:rPr>
          <w:rFonts w:hint="eastAsia" w:ascii="宋体" w:hAnsi="宋体" w:eastAsia="宋体" w:cs="宋体"/>
          <w:snapToGrid w:val="0"/>
          <w:color w:val="000000"/>
          <w:spacing w:val="0"/>
          <w:w w:val="100"/>
          <w:kern w:val="0"/>
          <w:sz w:val="24"/>
          <w:szCs w:val="24"/>
          <w:u w:val="single" w:color="auto"/>
          <w:lang w:eastAsia="en-US"/>
        </w:rPr>
        <w:t xml:space="preserve">    </w:t>
      </w:r>
      <w:r>
        <w:rPr>
          <w:rFonts w:hint="eastAsia" w:ascii="宋体" w:hAnsi="宋体" w:eastAsia="宋体" w:cs="宋体"/>
          <w:b/>
          <w:bCs/>
          <w:snapToGrid w:val="0"/>
          <w:color w:val="000000"/>
          <w:spacing w:val="0"/>
          <w:w w:val="100"/>
          <w:kern w:val="0"/>
          <w:sz w:val="24"/>
          <w:szCs w:val="24"/>
          <w:u w:val="single" w:color="auto"/>
          <w:lang w:eastAsia="en-US"/>
        </w:rPr>
        <w:t>3</w:t>
      </w:r>
      <w:r>
        <w:rPr>
          <w:rFonts w:hint="eastAsia" w:ascii="宋体" w:hAnsi="宋体" w:eastAsia="宋体" w:cs="宋体"/>
          <w:snapToGrid w:val="0"/>
          <w:color w:val="000000"/>
          <w:spacing w:val="0"/>
          <w:w w:val="100"/>
          <w:kern w:val="0"/>
          <w:sz w:val="24"/>
          <w:szCs w:val="24"/>
          <w:u w:val="single" w:color="auto"/>
          <w:lang w:eastAsia="en-US"/>
        </w:rPr>
        <w:t xml:space="preserve">   </w:t>
      </w:r>
      <w:r>
        <w:rPr>
          <w:rFonts w:hint="eastAsia" w:ascii="宋体" w:hAnsi="宋体" w:eastAsia="宋体" w:cs="宋体"/>
          <w:snapToGrid w:val="0"/>
          <w:color w:val="000000"/>
          <w:spacing w:val="0"/>
          <w:w w:val="100"/>
          <w:kern w:val="0"/>
          <w:sz w:val="24"/>
          <w:szCs w:val="24"/>
          <w:lang w:eastAsia="en-US"/>
        </w:rPr>
        <w:t xml:space="preserve"> 天的，乙方有权终止合同；</w:t>
      </w:r>
    </w:p>
    <w:p w14:paraId="0C346704">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（3）甲方偿付的违约金不足以弥补乙方损失的，还应按乙方损失尚未弥补 的部分，支付赔偿金给乙方。</w:t>
      </w:r>
    </w:p>
    <w:p w14:paraId="6140C458">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2、乙方违约责任</w:t>
      </w:r>
    </w:p>
    <w:p w14:paraId="5365CB33">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（1）乙方交付的货物质量不符合合同约定的，乙方应向甲方支付合同总价 的百分之</w:t>
      </w:r>
      <w:r>
        <w:rPr>
          <w:rFonts w:hint="eastAsia" w:ascii="宋体" w:hAnsi="宋体" w:eastAsia="宋体" w:cs="宋体"/>
          <w:b/>
          <w:bCs/>
          <w:snapToGrid w:val="0"/>
          <w:color w:val="000000"/>
          <w:spacing w:val="0"/>
          <w:w w:val="100"/>
          <w:kern w:val="0"/>
          <w:sz w:val="24"/>
          <w:szCs w:val="24"/>
          <w:lang w:eastAsia="en-US"/>
        </w:rPr>
        <w:t>一</w:t>
      </w:r>
      <w:r>
        <w:rPr>
          <w:rFonts w:hint="eastAsia" w:ascii="宋体" w:hAnsi="宋体" w:eastAsia="宋体" w:cs="宋体"/>
          <w:snapToGrid w:val="0"/>
          <w:color w:val="000000"/>
          <w:spacing w:val="0"/>
          <w:w w:val="100"/>
          <w:kern w:val="0"/>
          <w:sz w:val="24"/>
          <w:szCs w:val="24"/>
          <w:lang w:eastAsia="en-US"/>
        </w:rPr>
        <w:t>的违约金，并须在合同约定的交货时间内更换合格的货物给甲方，否 则，视作乙方不能交付货物而违约，按本条本款下述第“（2） ”项约定由乙方 偿付违约赔偿金给甲方。</w:t>
      </w:r>
    </w:p>
    <w:p w14:paraId="0BEF30CE">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（2）乙方不能交付货物或逾期交付货物而违约的，除应及时交足货物外， 应向甲方偿付逾期交货部分货款总额的万分之</w:t>
      </w:r>
      <w:r>
        <w:rPr>
          <w:rFonts w:hint="eastAsia" w:ascii="宋体" w:hAnsi="宋体" w:eastAsia="宋体" w:cs="宋体"/>
          <w:snapToGrid w:val="0"/>
          <w:color w:val="000000"/>
          <w:spacing w:val="0"/>
          <w:w w:val="100"/>
          <w:kern w:val="0"/>
          <w:sz w:val="24"/>
          <w:szCs w:val="24"/>
          <w:u w:val="single" w:color="auto"/>
          <w:lang w:eastAsia="en-US"/>
        </w:rPr>
        <w:t xml:space="preserve">   </w:t>
      </w:r>
      <w:r>
        <w:rPr>
          <w:rFonts w:hint="eastAsia" w:ascii="宋体" w:hAnsi="宋体" w:eastAsia="宋体" w:cs="宋体"/>
          <w:b/>
          <w:bCs/>
          <w:snapToGrid w:val="0"/>
          <w:color w:val="000000"/>
          <w:spacing w:val="0"/>
          <w:w w:val="100"/>
          <w:kern w:val="0"/>
          <w:sz w:val="24"/>
          <w:szCs w:val="24"/>
          <w:u w:val="single" w:color="auto"/>
          <w:lang w:eastAsia="en-US"/>
        </w:rPr>
        <w:t>三</w:t>
      </w:r>
      <w:r>
        <w:rPr>
          <w:rFonts w:hint="eastAsia" w:ascii="宋体" w:hAnsi="宋体" w:eastAsia="宋体" w:cs="宋体"/>
          <w:snapToGrid w:val="0"/>
          <w:color w:val="000000"/>
          <w:spacing w:val="0"/>
          <w:w w:val="100"/>
          <w:kern w:val="0"/>
          <w:sz w:val="24"/>
          <w:szCs w:val="24"/>
          <w:u w:val="single" w:color="auto"/>
          <w:lang w:eastAsia="en-US"/>
        </w:rPr>
        <w:t xml:space="preserve">  </w:t>
      </w:r>
      <w:r>
        <w:rPr>
          <w:rFonts w:hint="eastAsia" w:ascii="宋体" w:hAnsi="宋体" w:eastAsia="宋体" w:cs="宋体"/>
          <w:snapToGrid w:val="0"/>
          <w:color w:val="000000"/>
          <w:spacing w:val="0"/>
          <w:w w:val="100"/>
          <w:kern w:val="0"/>
          <w:sz w:val="24"/>
          <w:szCs w:val="24"/>
          <w:lang w:eastAsia="en-US"/>
        </w:rPr>
        <w:t xml:space="preserve"> /天的违约金；逾期交货超 过 </w:t>
      </w:r>
      <w:r>
        <w:rPr>
          <w:rFonts w:hint="eastAsia" w:ascii="宋体" w:hAnsi="宋体" w:eastAsia="宋体" w:cs="宋体"/>
          <w:b/>
          <w:bCs/>
          <w:snapToGrid w:val="0"/>
          <w:color w:val="000000"/>
          <w:spacing w:val="0"/>
          <w:w w:val="100"/>
          <w:kern w:val="0"/>
          <w:sz w:val="24"/>
          <w:szCs w:val="24"/>
          <w:lang w:eastAsia="en-US"/>
        </w:rPr>
        <w:t>3</w:t>
      </w:r>
      <w:r>
        <w:rPr>
          <w:rFonts w:hint="eastAsia" w:ascii="宋体" w:hAnsi="宋体" w:eastAsia="宋体" w:cs="宋体"/>
          <w:snapToGrid w:val="0"/>
          <w:color w:val="000000"/>
          <w:spacing w:val="0"/>
          <w:w w:val="100"/>
          <w:kern w:val="0"/>
          <w:sz w:val="24"/>
          <w:szCs w:val="24"/>
          <w:lang w:eastAsia="en-US"/>
        </w:rPr>
        <w:t xml:space="preserve"> 天，甲方有权终止合同，乙方则应按合同总价的百分之  </w:t>
      </w:r>
      <w:r>
        <w:rPr>
          <w:rFonts w:hint="eastAsia" w:ascii="宋体" w:hAnsi="宋体" w:eastAsia="宋体" w:cs="宋体"/>
          <w:b/>
          <w:bCs/>
          <w:snapToGrid w:val="0"/>
          <w:color w:val="000000"/>
          <w:spacing w:val="0"/>
          <w:w w:val="100"/>
          <w:kern w:val="0"/>
          <w:sz w:val="24"/>
          <w:szCs w:val="24"/>
          <w:lang w:eastAsia="en-US"/>
        </w:rPr>
        <w:t>一</w:t>
      </w:r>
      <w:r>
        <w:rPr>
          <w:rFonts w:hint="eastAsia" w:ascii="宋体" w:hAnsi="宋体" w:eastAsia="宋体" w:cs="宋体"/>
          <w:snapToGrid w:val="0"/>
          <w:color w:val="000000"/>
          <w:spacing w:val="0"/>
          <w:w w:val="100"/>
          <w:kern w:val="0"/>
          <w:sz w:val="24"/>
          <w:szCs w:val="24"/>
          <w:lang w:eastAsia="en-US"/>
        </w:rPr>
        <w:t xml:space="preserve">  的款额向甲方 偿付赔偿金，并须全额退还甲方已经付给乙方的货款及其利息。</w:t>
      </w:r>
    </w:p>
    <w:p w14:paraId="12241766">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（3）乙方货物经甲方送交具有法定资格条件的质量技术监督机构检测后， 如检测结果认定货物质量不符合本合同约定标准的，则视为乙方没有按时交货而 违约，乙方须在</w:t>
      </w:r>
      <w:r>
        <w:rPr>
          <w:rFonts w:hint="eastAsia" w:ascii="宋体" w:hAnsi="宋体" w:eastAsia="宋体" w:cs="宋体"/>
          <w:snapToGrid w:val="0"/>
          <w:color w:val="000000"/>
          <w:spacing w:val="0"/>
          <w:w w:val="100"/>
          <w:kern w:val="0"/>
          <w:sz w:val="24"/>
          <w:szCs w:val="24"/>
          <w:u w:val="single" w:color="auto"/>
          <w:lang w:eastAsia="en-US"/>
        </w:rPr>
        <w:t xml:space="preserve">    </w:t>
      </w:r>
      <w:r>
        <w:rPr>
          <w:rFonts w:hint="eastAsia" w:ascii="宋体" w:hAnsi="宋体" w:eastAsia="宋体" w:cs="宋体"/>
          <w:b/>
          <w:bCs/>
          <w:snapToGrid w:val="0"/>
          <w:color w:val="000000"/>
          <w:spacing w:val="0"/>
          <w:w w:val="100"/>
          <w:kern w:val="0"/>
          <w:sz w:val="24"/>
          <w:szCs w:val="24"/>
          <w:u w:val="single" w:color="auto"/>
          <w:lang w:eastAsia="en-US"/>
        </w:rPr>
        <w:t>三</w:t>
      </w:r>
      <w:r>
        <w:rPr>
          <w:rFonts w:hint="eastAsia" w:ascii="宋体" w:hAnsi="宋体" w:eastAsia="宋体" w:cs="宋体"/>
          <w:snapToGrid w:val="0"/>
          <w:color w:val="000000"/>
          <w:spacing w:val="0"/>
          <w:w w:val="100"/>
          <w:kern w:val="0"/>
          <w:sz w:val="24"/>
          <w:szCs w:val="24"/>
          <w:u w:val="single" w:color="auto"/>
          <w:lang w:eastAsia="en-US"/>
        </w:rPr>
        <w:t xml:space="preserve">  </w:t>
      </w:r>
      <w:r>
        <w:rPr>
          <w:rFonts w:hint="eastAsia" w:ascii="宋体" w:hAnsi="宋体" w:eastAsia="宋体" w:cs="宋体"/>
          <w:snapToGrid w:val="0"/>
          <w:color w:val="000000"/>
          <w:spacing w:val="0"/>
          <w:w w:val="100"/>
          <w:kern w:val="0"/>
          <w:sz w:val="24"/>
          <w:szCs w:val="24"/>
          <w:lang w:eastAsia="en-US"/>
        </w:rPr>
        <w:t xml:space="preserve"> 天内无条件更换合格的货物，如逾期不能更换合格的货 物，甲方有权终止本合同，乙方应另付合同总价的百分之</w:t>
      </w:r>
      <w:r>
        <w:rPr>
          <w:rFonts w:hint="eastAsia" w:ascii="宋体" w:hAnsi="宋体" w:eastAsia="宋体" w:cs="宋体"/>
          <w:snapToGrid w:val="0"/>
          <w:color w:val="000000"/>
          <w:spacing w:val="0"/>
          <w:w w:val="100"/>
          <w:kern w:val="0"/>
          <w:sz w:val="24"/>
          <w:szCs w:val="24"/>
          <w:u w:val="single" w:color="auto"/>
          <w:lang w:eastAsia="en-US"/>
        </w:rPr>
        <w:t xml:space="preserve">  </w:t>
      </w:r>
      <w:r>
        <w:rPr>
          <w:rFonts w:hint="eastAsia" w:ascii="宋体" w:hAnsi="宋体" w:eastAsia="宋体" w:cs="宋体"/>
          <w:b/>
          <w:bCs/>
          <w:snapToGrid w:val="0"/>
          <w:color w:val="000000"/>
          <w:spacing w:val="0"/>
          <w:w w:val="100"/>
          <w:kern w:val="0"/>
          <w:sz w:val="24"/>
          <w:szCs w:val="24"/>
          <w:u w:val="single" w:color="auto"/>
          <w:lang w:eastAsia="en-US"/>
        </w:rPr>
        <w:t>一</w:t>
      </w:r>
      <w:r>
        <w:rPr>
          <w:rFonts w:hint="eastAsia" w:ascii="宋体" w:hAnsi="宋体" w:eastAsia="宋体" w:cs="宋体"/>
          <w:snapToGrid w:val="0"/>
          <w:color w:val="000000"/>
          <w:spacing w:val="0"/>
          <w:w w:val="100"/>
          <w:kern w:val="0"/>
          <w:sz w:val="24"/>
          <w:szCs w:val="24"/>
          <w:u w:val="single" w:color="auto"/>
          <w:lang w:eastAsia="en-US"/>
        </w:rPr>
        <w:t xml:space="preserve">  </w:t>
      </w:r>
      <w:r>
        <w:rPr>
          <w:rFonts w:hint="eastAsia" w:ascii="宋体" w:hAnsi="宋体" w:eastAsia="宋体" w:cs="宋体"/>
          <w:snapToGrid w:val="0"/>
          <w:color w:val="000000"/>
          <w:spacing w:val="0"/>
          <w:w w:val="100"/>
          <w:kern w:val="0"/>
          <w:sz w:val="24"/>
          <w:szCs w:val="24"/>
          <w:lang w:eastAsia="en-US"/>
        </w:rPr>
        <w:t xml:space="preserve"> 的赔偿金给甲方。</w:t>
      </w:r>
    </w:p>
    <w:p w14:paraId="5EBA259F">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（4）乙方保证本合同货物的权利无瑕疵，包括货物所有权及知识产权等权 利无瑕疵。如任何第三方经法院（或仲裁机构）裁决有权对上述货物主张权利或国家机关依法对货物进行没收查处的，乙方除应向甲方返还已收款项外，还应另 按合同总价的百分之</w:t>
      </w:r>
      <w:r>
        <w:rPr>
          <w:rFonts w:hint="eastAsia" w:ascii="宋体" w:hAnsi="宋体" w:eastAsia="宋体" w:cs="宋体"/>
          <w:snapToGrid w:val="0"/>
          <w:color w:val="000000"/>
          <w:spacing w:val="0"/>
          <w:w w:val="100"/>
          <w:kern w:val="0"/>
          <w:sz w:val="24"/>
          <w:szCs w:val="24"/>
          <w:u w:val="single" w:color="auto"/>
          <w:lang w:eastAsia="en-US"/>
        </w:rPr>
        <w:t xml:space="preserve">  </w:t>
      </w:r>
      <w:r>
        <w:rPr>
          <w:rFonts w:hint="eastAsia" w:ascii="宋体" w:hAnsi="宋体" w:eastAsia="宋体" w:cs="宋体"/>
          <w:b/>
          <w:bCs/>
          <w:snapToGrid w:val="0"/>
          <w:color w:val="000000"/>
          <w:spacing w:val="0"/>
          <w:w w:val="100"/>
          <w:kern w:val="0"/>
          <w:sz w:val="24"/>
          <w:szCs w:val="24"/>
          <w:u w:val="single" w:color="auto"/>
          <w:lang w:eastAsia="en-US"/>
        </w:rPr>
        <w:t>一</w:t>
      </w:r>
      <w:r>
        <w:rPr>
          <w:rFonts w:hint="eastAsia" w:ascii="宋体" w:hAnsi="宋体" w:eastAsia="宋体" w:cs="宋体"/>
          <w:snapToGrid w:val="0"/>
          <w:color w:val="000000"/>
          <w:spacing w:val="0"/>
          <w:w w:val="100"/>
          <w:kern w:val="0"/>
          <w:sz w:val="24"/>
          <w:szCs w:val="24"/>
          <w:u w:val="single" w:color="auto"/>
          <w:lang w:eastAsia="en-US"/>
        </w:rPr>
        <w:t xml:space="preserve">  </w:t>
      </w:r>
      <w:r>
        <w:rPr>
          <w:rFonts w:hint="eastAsia" w:ascii="宋体" w:hAnsi="宋体" w:eastAsia="宋体" w:cs="宋体"/>
          <w:snapToGrid w:val="0"/>
          <w:color w:val="000000"/>
          <w:spacing w:val="0"/>
          <w:w w:val="100"/>
          <w:kern w:val="0"/>
          <w:sz w:val="24"/>
          <w:szCs w:val="24"/>
          <w:lang w:eastAsia="en-US"/>
        </w:rPr>
        <w:t xml:space="preserve"> 向甲方支付违约金并赔偿因此给甲方造成的一切损 失。</w:t>
      </w:r>
    </w:p>
    <w:p w14:paraId="03F3FECE">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（5）乙方偿付的违约金不足以弥补甲方损失的（包括但不限于：甲方因此 支付的诉讼费或者仲裁费、保全费、保全保险费、评估费、查档费、鉴定费、律 师费、交通费、住宿费、误工费等），还应按甲方损失尚未弥补的部分，支付赔 偿金给甲方。</w:t>
      </w:r>
    </w:p>
    <w:p w14:paraId="1D567714">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（6）乙方未按照本合同的约定，按时、按量、按约向甲方提供相关服务， 或未履行应承担的义务的（本项目项下《采购文件》中甲方的服务需求和具体要 求以及乙方《响应文件》中的响应承诺均视为本合同项下乙方应当承担的义务</w:t>
      </w:r>
      <w:r>
        <w:rPr>
          <w:rFonts w:hint="eastAsia" w:ascii="宋体" w:hAnsi="宋体" w:eastAsia="宋体" w:cs="宋体"/>
          <w:snapToGrid w:val="0"/>
          <w:color w:val="000000"/>
          <w:spacing w:val="0"/>
          <w:w w:val="100"/>
          <w:kern w:val="0"/>
          <w:sz w:val="24"/>
          <w:szCs w:val="24"/>
          <w:lang w:eastAsia="zh-CN"/>
        </w:rPr>
        <w:t>；且为实现本合同根本目的乙方所应履行的其他可能的、合理的义务亦视为乙方本合同义务</w:t>
      </w:r>
      <w:r>
        <w:rPr>
          <w:rFonts w:hint="eastAsia" w:ascii="宋体" w:hAnsi="宋体" w:eastAsia="宋体" w:cs="宋体"/>
          <w:snapToGrid w:val="0"/>
          <w:color w:val="000000"/>
          <w:spacing w:val="0"/>
          <w:w w:val="100"/>
          <w:kern w:val="0"/>
          <w:sz w:val="24"/>
          <w:szCs w:val="24"/>
          <w:lang w:eastAsia="en-US"/>
        </w:rPr>
        <w:t>），即视为乙方违约。对于上述义务，如本合同其他条款未明确约定具体的违约责任或违约救济方式，甲方有权依本条约定主张违约责任；如虽有约定，甲方亦有权单方选择适用本条约定的违约责任、其他条款所约定的违约责任，或两者并用。无论甲方选择何种方式，均不影响其就因此遭受的全部损失向乙方主张赔偿，且甲方有权对乙方行使以下限期整改及违约救济权利：</w:t>
      </w:r>
    </w:p>
    <w:p w14:paraId="1EB5044A">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a.甲方有权请求第三人替代履行乙方相应义务，由此产生的费用由乙方承 担；</w:t>
      </w:r>
    </w:p>
    <w:p w14:paraId="79ABC847">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b.乙方每逾期整改一天，就应当按照本合同总价款的 1%向甲方支付违约金， 至乙方整改符合本合同约定与甲方要求为止；</w:t>
      </w:r>
    </w:p>
    <w:p w14:paraId="58464CA5">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c.甲方有权选择解除本合同，乙方应当按照本合同总价的 10%向甲方支付违 约金，并退还甲方前期已支付的全部价款（如有），且乙方应当赔偿就此给甲方 造成的全部直接、间接损失（包括但不限于：甲方因此支付的诉讼费或者仲裁费、 保全费、保全保险费、评估费、查档费、鉴定费、律师费、交通费、住宿费、误 工费等）。</w:t>
      </w:r>
    </w:p>
    <w:p w14:paraId="0FBAC7FE">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（7）关于本合同乙方应当承担的违约金或其他形式的违约责任（如有）， 由甲方、乙方双方经充分协商并自愿设立；且乙方确认：乙方认可其可能具有的 惩罚性。乙方违约的，乙方不得以违约金过分高于给甲方造成的实际损失为由要 求法院或者仲裁机构予以调减或豁免。</w:t>
      </w:r>
    </w:p>
    <w:p w14:paraId="49DF19A2">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（8）甲方有权在任何一笔结算价款中直接扣除乙方应承担的违约金及赔偿 金（如有），不足部分甲方有权向乙方全额追偿。</w:t>
      </w:r>
    </w:p>
    <w:p w14:paraId="3BC486F8">
      <w:pPr>
        <w:keepNext w:val="0"/>
        <w:keepLines w:val="0"/>
        <w:pageBreakBefore w:val="0"/>
        <w:widowControl w:val="0"/>
        <w:kinsoku/>
        <w:wordWrap/>
        <w:overflowPunct w:val="0"/>
        <w:topLinePunct w:val="0"/>
        <w:autoSpaceDE/>
        <w:autoSpaceDN/>
        <w:bidi w:val="0"/>
        <w:adjustRightInd/>
        <w:snapToGrid/>
        <w:spacing w:line="360" w:lineRule="auto"/>
        <w:ind w:left="0" w:right="0" w:firstLine="482"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b/>
          <w:bCs/>
          <w:snapToGrid w:val="0"/>
          <w:color w:val="000000"/>
          <w:spacing w:val="0"/>
          <w:w w:val="100"/>
          <w:kern w:val="0"/>
          <w:sz w:val="24"/>
          <w:szCs w:val="24"/>
          <w:lang w:eastAsia="en-US"/>
        </w:rPr>
        <w:t>八、不可抗事件处理</w:t>
      </w:r>
    </w:p>
    <w:p w14:paraId="68B64B49">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1、在合同有效期内，任何一方因战争、洪灾、台风、地震等不可抗力事件 导致不能履行合同，则合同履行期可延长，其延长期与不可抗力事件影响期相同。</w:t>
      </w:r>
    </w:p>
    <w:p w14:paraId="435AF070">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2、受阻一方应在不可抗力事件发生后尽快用电话通知对方并于事故发生后15 天内将有关部门出具的证明文件等用特快专递或挂号信寄给对方审阅确认。</w:t>
      </w:r>
    </w:p>
    <w:p w14:paraId="68F843B5">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3、不可抗力事件延续 15 天以上，双方应通过友好协商，确定是否继续履行合同。</w:t>
      </w:r>
    </w:p>
    <w:p w14:paraId="7AF198FD">
      <w:pPr>
        <w:keepNext w:val="0"/>
        <w:keepLines w:val="0"/>
        <w:pageBreakBefore w:val="0"/>
        <w:widowControl w:val="0"/>
        <w:kinsoku/>
        <w:wordWrap/>
        <w:overflowPunct w:val="0"/>
        <w:topLinePunct w:val="0"/>
        <w:autoSpaceDE/>
        <w:autoSpaceDN/>
        <w:bidi w:val="0"/>
        <w:adjustRightInd/>
        <w:snapToGrid/>
        <w:spacing w:line="360" w:lineRule="auto"/>
        <w:ind w:left="0" w:right="0" w:firstLine="482"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b/>
          <w:bCs/>
          <w:snapToGrid w:val="0"/>
          <w:color w:val="000000"/>
          <w:spacing w:val="0"/>
          <w:w w:val="100"/>
          <w:kern w:val="0"/>
          <w:sz w:val="24"/>
          <w:szCs w:val="24"/>
          <w:lang w:eastAsia="en-US"/>
        </w:rPr>
        <w:t>九、争议解决办法</w:t>
      </w:r>
    </w:p>
    <w:p w14:paraId="204B46E4">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若在履行本合同过程中发生争议，由双方协商解决；协商不成的，由甲方所 在地人民法院管辖。</w:t>
      </w:r>
    </w:p>
    <w:p w14:paraId="7A18CCF3">
      <w:pPr>
        <w:keepNext w:val="0"/>
        <w:keepLines w:val="0"/>
        <w:pageBreakBefore w:val="0"/>
        <w:widowControl w:val="0"/>
        <w:kinsoku/>
        <w:wordWrap/>
        <w:overflowPunct w:val="0"/>
        <w:topLinePunct w:val="0"/>
        <w:autoSpaceDE/>
        <w:autoSpaceDN/>
        <w:bidi w:val="0"/>
        <w:adjustRightInd/>
        <w:snapToGrid/>
        <w:spacing w:line="360" w:lineRule="auto"/>
        <w:ind w:left="0" w:right="0" w:firstLine="482"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b/>
          <w:bCs/>
          <w:snapToGrid w:val="0"/>
          <w:color w:val="000000"/>
          <w:spacing w:val="0"/>
          <w:w w:val="100"/>
          <w:kern w:val="0"/>
          <w:sz w:val="24"/>
          <w:szCs w:val="24"/>
          <w:lang w:eastAsia="en-US"/>
        </w:rPr>
        <w:t>十、其他</w:t>
      </w:r>
    </w:p>
    <w:p w14:paraId="4A999620">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1、如有未尽事宜，由双方依法订立补充协议确定。</w:t>
      </w:r>
    </w:p>
    <w:p w14:paraId="11894880">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2、本合同履行中，甲方需追加与本合同标的相同的货物的，在不改变本合 同其他条款的前提下，可以与乙方协商签订补充协议，但所有补充协议的采购金 额不得超过本合同采购金额的百分之十。补充协议签订后，需报政府采购监督管 理部门备案（如需），方可作为本合同不可分割的一部分。</w:t>
      </w:r>
    </w:p>
    <w:p w14:paraId="2D7B4710">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3、本合同项下项目的《采购文件》《响应文件》《</w:t>
      </w:r>
      <w:r>
        <w:rPr>
          <w:rFonts w:hint="eastAsia" w:ascii="宋体" w:hAnsi="宋体" w:cs="宋体"/>
          <w:snapToGrid w:val="0"/>
          <w:color w:val="000000"/>
          <w:spacing w:val="0"/>
          <w:w w:val="100"/>
          <w:kern w:val="0"/>
          <w:sz w:val="24"/>
          <w:szCs w:val="24"/>
          <w:lang w:eastAsia="zh-CN"/>
        </w:rPr>
        <w:t>中标</w:t>
      </w:r>
      <w:r>
        <w:rPr>
          <w:rFonts w:hint="eastAsia" w:ascii="宋体" w:hAnsi="宋体" w:eastAsia="宋体" w:cs="宋体"/>
          <w:snapToGrid w:val="0"/>
          <w:color w:val="000000"/>
          <w:spacing w:val="0"/>
          <w:w w:val="100"/>
          <w:kern w:val="0"/>
          <w:sz w:val="24"/>
          <w:szCs w:val="24"/>
          <w:lang w:eastAsia="en-US"/>
        </w:rPr>
        <w:t>通知书》等项目文 件均为本合同的当然组成部分，前述文件内容与本合同（含附件）不一致的、前 述文件之间内容不一致的或本合同附件与本合同正文内容不一致的，甲方有权根 据最有利于实现甲方签订本合同的目的及实施本项目的预期效果的原则，选择确 定适用的内容及顺序。乙方在此承诺：将无条件同意、认可，且遵守、执行甲方 依据前款约定的解释规则所确定的适用内容及顺序，并受其约束。</w:t>
      </w:r>
    </w:p>
    <w:p w14:paraId="1D15CCF0">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4、本合同一式六份， 自双方盖章和代表人签字后生效。甲方三份，乙方、 政府采购管理部门、采购代理机构各一份，每份具有同等法律约束力。</w:t>
      </w:r>
    </w:p>
    <w:p w14:paraId="3346CCCD">
      <w:pPr>
        <w:keepNext w:val="0"/>
        <w:keepLines w:val="0"/>
        <w:pageBreakBefore w:val="0"/>
        <w:widowControl w:val="0"/>
        <w:kinsoku/>
        <w:wordWrap/>
        <w:overflowPunct w:val="0"/>
        <w:topLinePunct w:val="0"/>
        <w:autoSpaceDE/>
        <w:autoSpaceDN/>
        <w:bidi w:val="0"/>
        <w:adjustRightInd/>
        <w:snapToGrid/>
        <w:spacing w:line="360" w:lineRule="auto"/>
        <w:ind w:left="0" w:right="0" w:firstLine="482"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b/>
          <w:bCs/>
          <w:snapToGrid w:val="0"/>
          <w:color w:val="000000"/>
          <w:spacing w:val="0"/>
          <w:w w:val="100"/>
          <w:kern w:val="0"/>
          <w:sz w:val="24"/>
          <w:szCs w:val="24"/>
          <w:lang w:eastAsia="en-US"/>
        </w:rPr>
        <w:t>十一、附件</w:t>
      </w:r>
    </w:p>
    <w:p w14:paraId="44FDBAF0">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本合同附件与本合同具有同等法律约束力</w:t>
      </w:r>
    </w:p>
    <w:p w14:paraId="79DA1CFF">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1</w:t>
      </w:r>
      <w:r>
        <w:rPr>
          <w:rFonts w:hint="eastAsia" w:ascii="宋体" w:hAnsi="宋体" w:eastAsia="宋体" w:cs="宋体"/>
          <w:snapToGrid w:val="0"/>
          <w:color w:val="000000"/>
          <w:spacing w:val="0"/>
          <w:w w:val="100"/>
          <w:kern w:val="0"/>
          <w:sz w:val="24"/>
          <w:szCs w:val="24"/>
          <w:lang w:eastAsia="zh-CN"/>
        </w:rPr>
        <w:t>、</w:t>
      </w:r>
    </w:p>
    <w:p w14:paraId="571227C6">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2</w:t>
      </w:r>
      <w:r>
        <w:rPr>
          <w:rFonts w:hint="eastAsia" w:ascii="宋体" w:hAnsi="宋体" w:eastAsia="宋体" w:cs="宋体"/>
          <w:snapToGrid w:val="0"/>
          <w:color w:val="000000"/>
          <w:spacing w:val="0"/>
          <w:w w:val="100"/>
          <w:kern w:val="0"/>
          <w:sz w:val="24"/>
          <w:szCs w:val="24"/>
          <w:lang w:eastAsia="zh-CN"/>
        </w:rPr>
        <w:t>、</w:t>
      </w:r>
    </w:p>
    <w:p w14:paraId="5B1226F9">
      <w:pPr>
        <w:keepNext w:val="0"/>
        <w:keepLines w:val="0"/>
        <w:pageBreakBefore w:val="0"/>
        <w:widowControl w:val="0"/>
        <w:kinsoku/>
        <w:wordWrap/>
        <w:overflowPunct w:val="0"/>
        <w:topLinePunct w:val="0"/>
        <w:autoSpaceDE/>
        <w:autoSpaceDN/>
        <w:bidi w:val="0"/>
        <w:adjustRightInd/>
        <w:snapToGrid/>
        <w:spacing w:line="360" w:lineRule="auto"/>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（以下无正文）</w:t>
      </w:r>
    </w:p>
    <w:p w14:paraId="58164E73">
      <w:pPr>
        <w:keepNext w:val="0"/>
        <w:keepLines w:val="0"/>
        <w:pageBreakBefore w:val="0"/>
        <w:widowControl w:val="0"/>
        <w:kinsoku/>
        <w:wordWrap/>
        <w:overflowPunct w:val="0"/>
        <w:topLinePunct w:val="0"/>
        <w:autoSpaceDE/>
        <w:autoSpaceDN/>
        <w:bidi w:val="0"/>
        <w:adjustRightInd/>
        <w:snapToGrid/>
        <w:spacing w:line="360" w:lineRule="auto"/>
        <w:ind w:left="0" w:right="0" w:firstLine="0" w:firstLineChars="0"/>
        <w:jc w:val="both"/>
        <w:textAlignment w:val="baseline"/>
        <w:outlineLvl w:val="9"/>
        <w:rPr>
          <w:rFonts w:hint="eastAsia" w:ascii="宋体" w:hAnsi="宋体" w:eastAsia="宋体" w:cs="宋体"/>
          <w:b/>
          <w:bCs/>
          <w:snapToGrid w:val="0"/>
          <w:color w:val="000000"/>
          <w:spacing w:val="-11"/>
          <w:w w:val="100"/>
          <w:kern w:val="0"/>
          <w:sz w:val="24"/>
          <w:szCs w:val="24"/>
          <w:lang w:eastAsia="en-US"/>
        </w:rPr>
      </w:pPr>
      <w:r>
        <w:rPr>
          <w:rFonts w:hint="eastAsia" w:ascii="宋体" w:hAnsi="宋体" w:eastAsia="宋体" w:cs="宋体"/>
          <w:b/>
          <w:bCs/>
          <w:snapToGrid w:val="0"/>
          <w:color w:val="000000"/>
          <w:spacing w:val="-11"/>
          <w:w w:val="100"/>
          <w:kern w:val="0"/>
          <w:sz w:val="24"/>
          <w:szCs w:val="24"/>
          <w:lang w:eastAsia="en-US"/>
        </w:rPr>
        <w:t>（本页无正文，为《2025年</w:t>
      </w:r>
      <w:r>
        <w:rPr>
          <w:rFonts w:hint="eastAsia" w:ascii="宋体" w:hAnsi="宋体" w:cs="宋体"/>
          <w:b/>
          <w:bCs/>
          <w:snapToGrid w:val="0"/>
          <w:color w:val="000000"/>
          <w:spacing w:val="-11"/>
          <w:w w:val="100"/>
          <w:kern w:val="0"/>
          <w:sz w:val="24"/>
          <w:szCs w:val="24"/>
          <w:lang w:eastAsia="zh-CN"/>
        </w:rPr>
        <w:t>四川省凉山州消防救援支队室内烟火特性训练设施服务采购项目（二次）</w:t>
      </w:r>
      <w:r>
        <w:rPr>
          <w:rFonts w:hint="eastAsia" w:ascii="宋体" w:hAnsi="宋体" w:eastAsia="宋体" w:cs="宋体"/>
          <w:b/>
          <w:bCs/>
          <w:snapToGrid w:val="0"/>
          <w:color w:val="000000"/>
          <w:spacing w:val="-11"/>
          <w:w w:val="100"/>
          <w:kern w:val="0"/>
          <w:sz w:val="24"/>
          <w:szCs w:val="24"/>
          <w:lang w:eastAsia="en-US"/>
        </w:rPr>
        <w:t>采购合同》的签署页）</w:t>
      </w:r>
    </w:p>
    <w:p w14:paraId="398F4378">
      <w:pPr>
        <w:keepNext w:val="0"/>
        <w:keepLines w:val="0"/>
        <w:pageBreakBefore w:val="0"/>
        <w:widowControl w:val="0"/>
        <w:kinsoku/>
        <w:wordWrap/>
        <w:overflowPunct w:val="0"/>
        <w:topLinePunct w:val="0"/>
        <w:autoSpaceDE/>
        <w:autoSpaceDN/>
        <w:bidi w:val="0"/>
        <w:adjustRightInd/>
        <w:snapToGrid/>
        <w:spacing w:line="400" w:lineRule="exact"/>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val="en-US" w:eastAsia="en-US" w:bidi="ar-SA"/>
        </w:rPr>
      </w:pPr>
    </w:p>
    <w:p w14:paraId="3763E01D">
      <w:pPr>
        <w:keepNext w:val="0"/>
        <w:keepLines w:val="0"/>
        <w:pageBreakBefore w:val="0"/>
        <w:widowControl w:val="0"/>
        <w:kinsoku/>
        <w:wordWrap/>
        <w:overflowPunct w:val="0"/>
        <w:topLinePunct w:val="0"/>
        <w:autoSpaceDE/>
        <w:autoSpaceDN/>
        <w:bidi w:val="0"/>
        <w:adjustRightInd/>
        <w:snapToGrid/>
        <w:spacing w:line="400" w:lineRule="exact"/>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val="en-US" w:eastAsia="en-US" w:bidi="ar-SA"/>
        </w:rPr>
      </w:pPr>
    </w:p>
    <w:p w14:paraId="298C8BE1">
      <w:pPr>
        <w:keepNext w:val="0"/>
        <w:keepLines w:val="0"/>
        <w:pageBreakBefore w:val="0"/>
        <w:widowControl w:val="0"/>
        <w:kinsoku/>
        <w:wordWrap/>
        <w:overflowPunct w:val="0"/>
        <w:topLinePunct w:val="0"/>
        <w:autoSpaceDE/>
        <w:autoSpaceDN/>
        <w:bidi w:val="0"/>
        <w:adjustRightInd/>
        <w:snapToGrid/>
        <w:spacing w:line="400" w:lineRule="exact"/>
        <w:ind w:left="0" w:right="0" w:firstLine="482"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b/>
          <w:bCs/>
          <w:snapToGrid w:val="0"/>
          <w:color w:val="000000"/>
          <w:spacing w:val="0"/>
          <w:w w:val="100"/>
          <w:kern w:val="0"/>
          <w:sz w:val="24"/>
          <w:szCs w:val="24"/>
          <w:lang w:eastAsia="en-US"/>
        </w:rPr>
        <w:t>甲方</w:t>
      </w:r>
      <w:r>
        <w:rPr>
          <w:rFonts w:hint="eastAsia" w:ascii="宋体" w:hAnsi="宋体" w:eastAsia="宋体" w:cs="宋体"/>
          <w:snapToGrid w:val="0"/>
          <w:color w:val="000000"/>
          <w:spacing w:val="0"/>
          <w:w w:val="100"/>
          <w:kern w:val="0"/>
          <w:sz w:val="24"/>
          <w:szCs w:val="24"/>
          <w:lang w:eastAsia="en-US"/>
        </w:rPr>
        <w:t>（盖章）：</w:t>
      </w:r>
    </w:p>
    <w:p w14:paraId="67F8F0A7">
      <w:pPr>
        <w:keepNext w:val="0"/>
        <w:keepLines w:val="0"/>
        <w:pageBreakBefore w:val="0"/>
        <w:widowControl w:val="0"/>
        <w:kinsoku/>
        <w:wordWrap/>
        <w:overflowPunct w:val="0"/>
        <w:topLinePunct w:val="0"/>
        <w:autoSpaceDE/>
        <w:autoSpaceDN/>
        <w:bidi w:val="0"/>
        <w:adjustRightInd/>
        <w:snapToGrid/>
        <w:spacing w:line="400" w:lineRule="exact"/>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val="en-US" w:eastAsia="en-US" w:bidi="ar-SA"/>
        </w:rPr>
      </w:pPr>
    </w:p>
    <w:p w14:paraId="08DC0C05">
      <w:pPr>
        <w:keepNext w:val="0"/>
        <w:keepLines w:val="0"/>
        <w:pageBreakBefore w:val="0"/>
        <w:widowControl w:val="0"/>
        <w:kinsoku/>
        <w:wordWrap/>
        <w:overflowPunct w:val="0"/>
        <w:topLinePunct w:val="0"/>
        <w:autoSpaceDE/>
        <w:autoSpaceDN/>
        <w:bidi w:val="0"/>
        <w:adjustRightInd/>
        <w:snapToGrid/>
        <w:spacing w:line="400" w:lineRule="exact"/>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代表人（签字）：</w:t>
      </w:r>
    </w:p>
    <w:p w14:paraId="6E009160">
      <w:pPr>
        <w:keepNext w:val="0"/>
        <w:keepLines w:val="0"/>
        <w:pageBreakBefore w:val="0"/>
        <w:widowControl w:val="0"/>
        <w:kinsoku/>
        <w:wordWrap/>
        <w:overflowPunct w:val="0"/>
        <w:topLinePunct w:val="0"/>
        <w:autoSpaceDE/>
        <w:autoSpaceDN/>
        <w:bidi w:val="0"/>
        <w:adjustRightInd/>
        <w:snapToGrid/>
        <w:spacing w:line="400" w:lineRule="exact"/>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val="en-US" w:eastAsia="en-US" w:bidi="ar-SA"/>
        </w:rPr>
      </w:pPr>
    </w:p>
    <w:p w14:paraId="32C50D8F">
      <w:pPr>
        <w:keepNext w:val="0"/>
        <w:keepLines w:val="0"/>
        <w:pageBreakBefore w:val="0"/>
        <w:widowControl w:val="0"/>
        <w:kinsoku/>
        <w:wordWrap/>
        <w:overflowPunct w:val="0"/>
        <w:topLinePunct w:val="0"/>
        <w:autoSpaceDE/>
        <w:autoSpaceDN/>
        <w:bidi w:val="0"/>
        <w:adjustRightInd/>
        <w:snapToGrid/>
        <w:spacing w:line="400" w:lineRule="exact"/>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日期：</w:t>
      </w:r>
    </w:p>
    <w:p w14:paraId="364010F6">
      <w:pPr>
        <w:keepNext w:val="0"/>
        <w:keepLines w:val="0"/>
        <w:pageBreakBefore w:val="0"/>
        <w:widowControl w:val="0"/>
        <w:kinsoku/>
        <w:wordWrap/>
        <w:overflowPunct w:val="0"/>
        <w:topLinePunct w:val="0"/>
        <w:autoSpaceDE/>
        <w:autoSpaceDN/>
        <w:bidi w:val="0"/>
        <w:adjustRightInd/>
        <w:snapToGrid/>
        <w:spacing w:line="400" w:lineRule="exact"/>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val="en-US" w:eastAsia="en-US" w:bidi="ar-SA"/>
        </w:rPr>
      </w:pPr>
    </w:p>
    <w:p w14:paraId="06103436">
      <w:pPr>
        <w:keepNext w:val="0"/>
        <w:keepLines w:val="0"/>
        <w:pageBreakBefore w:val="0"/>
        <w:widowControl w:val="0"/>
        <w:kinsoku/>
        <w:wordWrap/>
        <w:overflowPunct w:val="0"/>
        <w:topLinePunct w:val="0"/>
        <w:autoSpaceDE/>
        <w:autoSpaceDN/>
        <w:bidi w:val="0"/>
        <w:adjustRightInd/>
        <w:snapToGrid/>
        <w:spacing w:line="400" w:lineRule="exact"/>
        <w:ind w:left="0" w:right="0" w:firstLine="482"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b/>
          <w:bCs/>
          <w:snapToGrid w:val="0"/>
          <w:color w:val="000000"/>
          <w:spacing w:val="0"/>
          <w:w w:val="100"/>
          <w:kern w:val="0"/>
          <w:sz w:val="24"/>
          <w:szCs w:val="24"/>
          <w:lang w:eastAsia="en-US"/>
        </w:rPr>
        <w:t>乙方</w:t>
      </w:r>
      <w:r>
        <w:rPr>
          <w:rFonts w:hint="eastAsia" w:ascii="宋体" w:hAnsi="宋体" w:eastAsia="宋体" w:cs="宋体"/>
          <w:snapToGrid w:val="0"/>
          <w:color w:val="000000"/>
          <w:spacing w:val="0"/>
          <w:w w:val="100"/>
          <w:kern w:val="0"/>
          <w:sz w:val="24"/>
          <w:szCs w:val="24"/>
          <w:lang w:eastAsia="en-US"/>
        </w:rPr>
        <w:t>（盖章）：</w:t>
      </w:r>
    </w:p>
    <w:p w14:paraId="34FFF43B">
      <w:pPr>
        <w:keepNext w:val="0"/>
        <w:keepLines w:val="0"/>
        <w:pageBreakBefore w:val="0"/>
        <w:widowControl w:val="0"/>
        <w:kinsoku/>
        <w:wordWrap/>
        <w:overflowPunct w:val="0"/>
        <w:topLinePunct w:val="0"/>
        <w:autoSpaceDE/>
        <w:autoSpaceDN/>
        <w:bidi w:val="0"/>
        <w:adjustRightInd/>
        <w:snapToGrid/>
        <w:spacing w:line="400" w:lineRule="exact"/>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val="en-US" w:eastAsia="en-US" w:bidi="ar-SA"/>
        </w:rPr>
      </w:pPr>
    </w:p>
    <w:p w14:paraId="048992CE">
      <w:pPr>
        <w:keepNext w:val="0"/>
        <w:keepLines w:val="0"/>
        <w:pageBreakBefore w:val="0"/>
        <w:widowControl w:val="0"/>
        <w:kinsoku/>
        <w:wordWrap/>
        <w:overflowPunct w:val="0"/>
        <w:topLinePunct w:val="0"/>
        <w:autoSpaceDE/>
        <w:autoSpaceDN/>
        <w:bidi w:val="0"/>
        <w:adjustRightInd/>
        <w:snapToGrid/>
        <w:spacing w:line="400" w:lineRule="exact"/>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eastAsia="en-US"/>
        </w:rPr>
      </w:pPr>
      <w:r>
        <w:rPr>
          <w:rFonts w:hint="eastAsia" w:ascii="宋体" w:hAnsi="宋体" w:eastAsia="宋体" w:cs="宋体"/>
          <w:snapToGrid w:val="0"/>
          <w:color w:val="000000"/>
          <w:spacing w:val="0"/>
          <w:w w:val="100"/>
          <w:kern w:val="0"/>
          <w:sz w:val="24"/>
          <w:szCs w:val="24"/>
          <w:lang w:eastAsia="en-US"/>
        </w:rPr>
        <w:t>代表人（签字）：</w:t>
      </w:r>
    </w:p>
    <w:p w14:paraId="6E13DC9F">
      <w:pPr>
        <w:keepNext w:val="0"/>
        <w:keepLines w:val="0"/>
        <w:pageBreakBefore w:val="0"/>
        <w:widowControl w:val="0"/>
        <w:kinsoku/>
        <w:wordWrap/>
        <w:overflowPunct w:val="0"/>
        <w:topLinePunct w:val="0"/>
        <w:autoSpaceDE/>
        <w:autoSpaceDN/>
        <w:bidi w:val="0"/>
        <w:adjustRightInd/>
        <w:snapToGrid/>
        <w:spacing w:line="400" w:lineRule="exact"/>
        <w:ind w:left="0" w:right="0" w:firstLine="480" w:firstLineChars="200"/>
        <w:jc w:val="both"/>
        <w:textAlignment w:val="baseline"/>
        <w:outlineLvl w:val="9"/>
        <w:rPr>
          <w:rFonts w:hint="eastAsia" w:ascii="宋体" w:hAnsi="宋体" w:eastAsia="宋体" w:cs="宋体"/>
          <w:snapToGrid w:val="0"/>
          <w:color w:val="000000"/>
          <w:spacing w:val="0"/>
          <w:w w:val="100"/>
          <w:kern w:val="0"/>
          <w:sz w:val="24"/>
          <w:szCs w:val="24"/>
          <w:lang w:val="en-US" w:eastAsia="en-US" w:bidi="ar-SA"/>
        </w:rPr>
      </w:pPr>
    </w:p>
    <w:p w14:paraId="62A4E9B9">
      <w:pPr>
        <w:keepNext w:val="0"/>
        <w:keepLines w:val="0"/>
        <w:pageBreakBefore w:val="0"/>
        <w:widowControl w:val="0"/>
        <w:kinsoku/>
        <w:wordWrap/>
        <w:overflowPunct w:val="0"/>
        <w:topLinePunct w:val="0"/>
        <w:autoSpaceDE/>
        <w:autoSpaceDN/>
        <w:bidi w:val="0"/>
        <w:adjustRightInd/>
        <w:snapToGrid/>
        <w:spacing w:line="400" w:lineRule="exact"/>
        <w:ind w:left="0" w:right="0" w:firstLine="480" w:firstLineChars="200"/>
        <w:jc w:val="both"/>
        <w:textAlignment w:val="baseline"/>
        <w:outlineLvl w:val="9"/>
        <w:rPr>
          <w:rStyle w:val="230"/>
          <w:rFonts w:hint="eastAsia" w:eastAsia="宋体"/>
          <w:color w:val="auto"/>
          <w:highlight w:val="none"/>
          <w:lang w:eastAsia="zh-CN"/>
        </w:rPr>
      </w:pPr>
      <w:r>
        <w:rPr>
          <w:rFonts w:hint="eastAsia" w:ascii="宋体" w:hAnsi="宋体" w:eastAsia="宋体" w:cs="宋体"/>
          <w:snapToGrid w:val="0"/>
          <w:color w:val="000000"/>
          <w:spacing w:val="0"/>
          <w:w w:val="100"/>
          <w:kern w:val="0"/>
          <w:sz w:val="24"/>
          <w:szCs w:val="24"/>
          <w:lang w:eastAsia="en-US"/>
        </w:rPr>
        <w:t>日期：</w:t>
      </w:r>
    </w:p>
    <w:sectPr>
      <w:headerReference r:id="rId51" w:type="first"/>
      <w:footerReference r:id="rId52" w:type="first"/>
      <w:pgSz w:w="11907" w:h="16840"/>
      <w:pgMar w:top="1440" w:right="1080" w:bottom="1440" w:left="1080" w:header="851" w:footer="992" w:gutter="0"/>
      <w:pgBorders>
        <w:top w:val="none" w:sz="0" w:space="0"/>
        <w:left w:val="none" w:sz="0" w:space="0"/>
        <w:bottom w:val="none" w:sz="0" w:space="0"/>
        <w:right w:val="none" w:sz="0" w:space="0"/>
      </w:pgBorders>
      <w:pgNumType w:fmt="decimal"/>
      <w:cols w:space="720" w:num="1"/>
      <w:titlePg/>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楷体">
    <w:panose1 w:val="02010609060101010101"/>
    <w:charset w:val="86"/>
    <w:family w:val="modern"/>
    <w:pitch w:val="default"/>
    <w:sig w:usb0="800002BF" w:usb1="38CF7CFA" w:usb2="00000016" w:usb3="00000000" w:csb0="00040001" w:csb1="00000000"/>
  </w:font>
  <w:font w:name="Consolas">
    <w:panose1 w:val="020B0609020204030204"/>
    <w:charset w:val="00"/>
    <w:family w:val="modern"/>
    <w:pitch w:val="default"/>
    <w:sig w:usb0="E10002FF" w:usb1="4000FCFF" w:usb2="00000009" w:usb3="00000000" w:csb0="6000019F" w:csb1="DFD70000"/>
  </w:font>
  <w:font w:name="Helvetica Neue">
    <w:altName w:val="Corbel"/>
    <w:panose1 w:val="00000000000000000000"/>
    <w:charset w:val="00"/>
    <w:family w:val="auto"/>
    <w:pitch w:val="default"/>
    <w:sig w:usb0="00000000" w:usb1="00000000" w:usb2="00000010" w:usb3="00000000" w:csb0="00000001" w:csb1="00000000"/>
  </w:font>
  <w:font w:name="Corbel">
    <w:panose1 w:val="020B0503020204020204"/>
    <w:charset w:val="00"/>
    <w:family w:val="auto"/>
    <w:pitch w:val="default"/>
    <w:sig w:usb0="A00002EF" w:usb1="4000A44B" w:usb2="00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Syntax">
    <w:altName w:val="MV Boli"/>
    <w:panose1 w:val="00000000000000000000"/>
    <w:charset w:val="00"/>
    <w:family w:val="swiss"/>
    <w:pitch w:val="default"/>
    <w:sig w:usb0="00000000" w:usb1="00000000" w:usb2="00000000" w:usb3="00000000" w:csb0="00000001" w:csb1="00000000"/>
  </w:font>
  <w:font w:name="MV Boli">
    <w:panose1 w:val="02000500030200090000"/>
    <w:charset w:val="00"/>
    <w:family w:val="auto"/>
    <w:pitch w:val="default"/>
    <w:sig w:usb0="00000003" w:usb1="00000000" w:usb2="00000100" w:usb3="00000000" w:csb0="000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Times New Roman Regular">
    <w:altName w:val="Times New Roman"/>
    <w:panose1 w:val="02020603050405020304"/>
    <w:charset w:val="00"/>
    <w:family w:val="auto"/>
    <w:pitch w:val="default"/>
    <w:sig w:usb0="00000000" w:usb1="00000000" w:usb2="00000009" w:usb3="00000000" w:csb0="400001FF" w:csb1="FFFF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E73604">
    <w:pP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628B3A">
    <w:pPr>
      <w:pStyle w:val="29"/>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10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F927640">
                          <w:pPr>
                            <w:pStyle w:val="29"/>
                          </w:pPr>
                          <w:r>
                            <w:fldChar w:fldCharType="begin"/>
                          </w:r>
                          <w:r>
                            <w:instrText xml:space="preserve"> PAGE  \* MERGEFORMAT </w:instrText>
                          </w:r>
                          <w:r>
                            <w:fldChar w:fldCharType="separate"/>
                          </w:r>
                          <w:r>
                            <w:t>30</w:t>
                          </w:r>
                          <w:r>
                            <w:fldChar w:fldCharType="end"/>
                          </w:r>
                        </w:p>
                      </w:txbxContent>
                    </wps:txbx>
                    <wps:bodyPr wrap="none" lIns="0" tIns="0" rIns="0" bIns="0" upright="0">
                      <a:spAutoFit/>
                    </wps:bodyPr>
                  </wps:wsp>
                </a:graphicData>
              </a:graphic>
            </wp:anchor>
          </w:drawing>
        </mc:Choice>
        <mc:Fallback>
          <w:pict>
            <v:shape id="文本框 1053"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bU3mOs0BAACdAwAADgAAAAAAAAABACAAAAAeAQAAZHJzL2Uy&#10;b0RvYy54bWxQSwUGAAAAAAYABgBZAQAAXQUAAAAA&#10;">
              <v:fill on="f" focussize="0,0"/>
              <v:stroke on="f"/>
              <v:imagedata o:title=""/>
              <o:lock v:ext="edit" aspectratio="f"/>
              <v:textbox inset="0mm,0mm,0mm,0mm" style="mso-fit-shape-to-text:t;">
                <w:txbxContent>
                  <w:p w14:paraId="7F927640">
                    <w:pPr>
                      <w:pStyle w:val="29"/>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BFBB8">
    <w:pPr>
      <w:pStyle w:val="29"/>
      <w:jc w:val="center"/>
    </w:pPr>
    <w:r>
      <w:fldChar w:fldCharType="begin"/>
    </w:r>
    <w:r>
      <w:instrText xml:space="preserve">PAGE   \* MERGEFORMAT</w:instrText>
    </w:r>
    <w:r>
      <w:fldChar w:fldCharType="separate"/>
    </w:r>
    <w:r>
      <w:rPr>
        <w:lang w:val="zh-CN"/>
      </w:rPr>
      <w:t>44</w:t>
    </w:r>
    <w:r>
      <w:rPr>
        <w:lang w:val="zh-CN"/>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842BD">
    <w:pPr>
      <w:pStyle w:val="29"/>
      <w:jc w:val="center"/>
    </w:pPr>
    <w:r>
      <w:rPr>
        <w:rFonts w:hint="eastAsia"/>
      </w:rPr>
      <w:t>32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1E0BCE">
    <w:pPr>
      <w:pStyle w:val="29"/>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0" name="文本框 1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95B9EA">
                          <w:pPr>
                            <w:pStyle w:val="29"/>
                          </w:pPr>
                          <w:r>
                            <w:fldChar w:fldCharType="begin"/>
                          </w:r>
                          <w:r>
                            <w:instrText xml:space="preserve"> PAGE  \* MERGEFORMAT </w:instrText>
                          </w:r>
                          <w:r>
                            <w:fldChar w:fldCharType="separate"/>
                          </w:r>
                          <w:r>
                            <w:t>31</w:t>
                          </w:r>
                          <w:r>
                            <w:fldChar w:fldCharType="end"/>
                          </w:r>
                        </w:p>
                      </w:txbxContent>
                    </wps:txbx>
                    <wps:bodyPr wrap="none" lIns="0" tIns="0" rIns="0" bIns="0" upright="0">
                      <a:spAutoFit/>
                    </wps:bodyPr>
                  </wps:wsp>
                </a:graphicData>
              </a:graphic>
            </wp:anchor>
          </w:drawing>
        </mc:Choice>
        <mc:Fallback>
          <w:pict>
            <v:shape id="文本框 1054"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E5YmLXLAQAAnQMAAA4AAAAAAAAAAQAgAAAAHgEAAGRycy9lMm9E&#10;b2MueG1sUEsFBgAAAAAGAAYAWQEAAFsFAAAAAA==&#10;">
              <v:fill on="f" focussize="0,0"/>
              <v:stroke on="f"/>
              <v:imagedata o:title=""/>
              <o:lock v:ext="edit" aspectratio="f"/>
              <v:textbox inset="0mm,0mm,0mm,0mm" style="mso-fit-shape-to-text:t;">
                <w:txbxContent>
                  <w:p w14:paraId="7995B9EA">
                    <w:pPr>
                      <w:pStyle w:val="29"/>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FB417">
    <w:pPr>
      <w:pStyle w:val="29"/>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51" name="文本框 10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3A5697">
                          <w:pPr>
                            <w:pStyle w:val="29"/>
                          </w:pPr>
                          <w:r>
                            <w:fldChar w:fldCharType="begin"/>
                          </w:r>
                          <w:r>
                            <w:instrText xml:space="preserve"> PAGE  \* MERGEFORMAT </w:instrText>
                          </w:r>
                          <w:r>
                            <w:fldChar w:fldCharType="separate"/>
                          </w:r>
                          <w:r>
                            <w:t>33</w:t>
                          </w:r>
                          <w:r>
                            <w:fldChar w:fldCharType="end"/>
                          </w:r>
                        </w:p>
                      </w:txbxContent>
                    </wps:txbx>
                    <wps:bodyPr wrap="none" lIns="0" tIns="0" rIns="0" bIns="0" upright="0">
                      <a:spAutoFit/>
                    </wps:bodyPr>
                  </wps:wsp>
                </a:graphicData>
              </a:graphic>
            </wp:anchor>
          </w:drawing>
        </mc:Choice>
        <mc:Fallback>
          <w:pict>
            <v:shape id="文本框 1055"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EVQMDzAEAAJ0DAAAOAAAAAAAAAAEAIAAAAB4BAABkcnMvZTJv&#10;RG9jLnhtbFBLBQYAAAAABgAGAFkBAABcBQAAAAA=&#10;">
              <v:fill on="f" focussize="0,0"/>
              <v:stroke on="f"/>
              <v:imagedata o:title=""/>
              <o:lock v:ext="edit" aspectratio="f"/>
              <v:textbox inset="0mm,0mm,0mm,0mm" style="mso-fit-shape-to-text:t;">
                <w:txbxContent>
                  <w:p w14:paraId="793A5697">
                    <w:pPr>
                      <w:pStyle w:val="29"/>
                    </w:pPr>
                    <w:r>
                      <w:fldChar w:fldCharType="begin"/>
                    </w:r>
                    <w:r>
                      <w:instrText xml:space="preserve"> PAGE  \* MERGEFORMAT </w:instrText>
                    </w:r>
                    <w:r>
                      <w:fldChar w:fldCharType="separate"/>
                    </w:r>
                    <w:r>
                      <w:t>33</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3F9B8">
    <w:pPr>
      <w:pStyle w:val="29"/>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10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9EDCE03">
                          <w:pPr>
                            <w:pStyle w:val="29"/>
                          </w:pPr>
                          <w:r>
                            <w:fldChar w:fldCharType="begin"/>
                          </w:r>
                          <w:r>
                            <w:instrText xml:space="preserve"> PAGE  \* MERGEFORMAT </w:instrText>
                          </w:r>
                          <w:r>
                            <w:fldChar w:fldCharType="separate"/>
                          </w:r>
                          <w:r>
                            <w:t>34</w:t>
                          </w:r>
                          <w:r>
                            <w:fldChar w:fldCharType="end"/>
                          </w:r>
                        </w:p>
                      </w:txbxContent>
                    </wps:txbx>
                    <wps:bodyPr wrap="none" lIns="0" tIns="0" rIns="0" bIns="0" upright="0">
                      <a:spAutoFit/>
                    </wps:bodyPr>
                  </wps:wsp>
                </a:graphicData>
              </a:graphic>
            </wp:anchor>
          </w:drawing>
        </mc:Choice>
        <mc:Fallback>
          <w:pict>
            <v:shape id="文本框 105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CbRd8DzAEAAJ0DAAAOAAAAAAAAAAEAIAAAAB4BAABkcnMvZTJv&#10;RG9jLnhtbFBLBQYAAAAABgAGAFkBAABcBQAAAAA=&#10;">
              <v:fill on="f" focussize="0,0"/>
              <v:stroke on="f"/>
              <v:imagedata o:title=""/>
              <o:lock v:ext="edit" aspectratio="f"/>
              <v:textbox inset="0mm,0mm,0mm,0mm" style="mso-fit-shape-to-text:t;">
                <w:txbxContent>
                  <w:p w14:paraId="19EDCE03">
                    <w:pPr>
                      <w:pStyle w:val="29"/>
                    </w:pPr>
                    <w:r>
                      <w:fldChar w:fldCharType="begin"/>
                    </w:r>
                    <w:r>
                      <w:instrText xml:space="preserve"> PAGE  \* MERGEFORMAT </w:instrText>
                    </w:r>
                    <w:r>
                      <w:fldChar w:fldCharType="separate"/>
                    </w:r>
                    <w:r>
                      <w:t>34</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DCCAD">
    <w:pPr>
      <w:pStyle w:val="29"/>
    </w:pPr>
    <w:r>
      <w:rPr>
        <w:sz w:val="18"/>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B246F4">
                          <w:pPr>
                            <w:pStyle w:val="29"/>
                          </w:pPr>
                          <w:r>
                            <w:fldChar w:fldCharType="begin"/>
                          </w:r>
                          <w:r>
                            <w:instrText xml:space="preserve"> PAGE  \* MERGEFORMAT </w:instrText>
                          </w:r>
                          <w:r>
                            <w:fldChar w:fldCharType="separate"/>
                          </w:r>
                          <w:r>
                            <w:t>37</w:t>
                          </w:r>
                          <w:r>
                            <w:fldChar w:fldCharType="end"/>
                          </w:r>
                        </w:p>
                      </w:txbxContent>
                    </wps:txbx>
                    <wps:bodyPr wrap="none" lIns="0" tIns="0" rIns="0" bIns="0" upright="0">
                      <a:spAutoFit/>
                    </wps:bodyPr>
                  </wps:wsp>
                </a:graphicData>
              </a:graphic>
            </wp:anchor>
          </w:drawing>
        </mc:Choice>
        <mc:Fallback>
          <w:pict>
            <v:shape id="文本框 1059"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Z0Bmbs0BAACdAwAADgAAAAAAAAABACAAAAAeAQAAZHJzL2Uy&#10;b0RvYy54bWxQSwUGAAAAAAYABgBZAQAAXQUAAAAA&#10;">
              <v:fill on="f" focussize="0,0"/>
              <v:stroke on="f"/>
              <v:imagedata o:title=""/>
              <o:lock v:ext="edit" aspectratio="f"/>
              <v:textbox inset="0mm,0mm,0mm,0mm" style="mso-fit-shape-to-text:t;">
                <w:txbxContent>
                  <w:p w14:paraId="03B246F4">
                    <w:pPr>
                      <w:pStyle w:val="29"/>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57C681">
    <w:pPr>
      <w:pStyle w:val="29"/>
    </w:pPr>
    <w:r>
      <w:rPr>
        <w:sz w:val="18"/>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10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EE3CB49">
                          <w:pPr>
                            <w:pStyle w:val="29"/>
                          </w:pPr>
                          <w:r>
                            <w:fldChar w:fldCharType="begin"/>
                          </w:r>
                          <w:r>
                            <w:instrText xml:space="preserve"> PAGE  \* MERGEFORMAT </w:instrText>
                          </w:r>
                          <w:r>
                            <w:fldChar w:fldCharType="separate"/>
                          </w:r>
                          <w:r>
                            <w:t>38</w:t>
                          </w:r>
                          <w:r>
                            <w:fldChar w:fldCharType="end"/>
                          </w:r>
                        </w:p>
                      </w:txbxContent>
                    </wps:txbx>
                    <wps:bodyPr wrap="none" lIns="0" tIns="0" rIns="0" bIns="0" upright="0">
                      <a:spAutoFit/>
                    </wps:bodyPr>
                  </wps:wsp>
                </a:graphicData>
              </a:graphic>
            </wp:anchor>
          </w:drawing>
        </mc:Choice>
        <mc:Fallback>
          <w:pict>
            <v:shape id="文本框 1060"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HVqIbzAEAAJ0DAAAOAAAAAAAAAAEAIAAAAB4BAABkcnMvZTJv&#10;RG9jLnhtbFBLBQYAAAAABgAGAFkBAABcBQAAAAA=&#10;">
              <v:fill on="f" focussize="0,0"/>
              <v:stroke on="f"/>
              <v:imagedata o:title=""/>
              <o:lock v:ext="edit" aspectratio="f"/>
              <v:textbox inset="0mm,0mm,0mm,0mm" style="mso-fit-shape-to-text:t;">
                <w:txbxContent>
                  <w:p w14:paraId="4EE3CB49">
                    <w:pPr>
                      <w:pStyle w:val="29"/>
                    </w:pPr>
                    <w:r>
                      <w:fldChar w:fldCharType="begin"/>
                    </w:r>
                    <w:r>
                      <w:instrText xml:space="preserve"> PAGE  \* MERGEFORMAT </w:instrText>
                    </w:r>
                    <w:r>
                      <w:fldChar w:fldCharType="separate"/>
                    </w:r>
                    <w:r>
                      <w:t>38</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209B82">
    <w:pPr>
      <w:pStyle w:val="29"/>
    </w:pPr>
    <w:r>
      <w:rPr>
        <w:sz w:val="18"/>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AB6E9D">
                          <w:pPr>
                            <w:pStyle w:val="29"/>
                          </w:pPr>
                          <w:r>
                            <w:fldChar w:fldCharType="begin"/>
                          </w:r>
                          <w:r>
                            <w:instrText xml:space="preserve"> PAGE  \* MERGEFORMAT </w:instrText>
                          </w:r>
                          <w:r>
                            <w:fldChar w:fldCharType="separate"/>
                          </w:r>
                          <w:r>
                            <w:t>39</w:t>
                          </w:r>
                          <w:r>
                            <w:fldChar w:fldCharType="end"/>
                          </w:r>
                        </w:p>
                      </w:txbxContent>
                    </wps:txbx>
                    <wps:bodyPr wrap="none" lIns="0" tIns="0" rIns="0" bIns="0" upright="0">
                      <a:spAutoFit/>
                    </wps:bodyPr>
                  </wps:wsp>
                </a:graphicData>
              </a:graphic>
            </wp:anchor>
          </w:drawing>
        </mc:Choice>
        <mc:Fallback>
          <w:pict>
            <v:shape id="文本框 1061"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Vs5rcsBAACdAwAADgAAAGRycy9lMm9Eb2MueG1srVPNjtMwEL4j8Q6W&#10;79RpJZYq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tuGvnxFieMWJ375/u3y49fl51ey&#10;rG6WWaI+QI2Z9wFz0/DGD7g4sx/QmZkPKtr8RU4E4yjw+SqwHBIR+dF6tV5XGBIYmy+Izx6ehwjp&#10;rfSWZKOhESdYhOWn95DG1DklV3P+ThtTpmjcXw7EzB6Wex97zFYa9sNEaO/bM/LpcfgNdbjrlJh3&#10;DrXNezIbcTb2s3EMUR+6ski5HoTXx4RNlN5yhRF2KoxTK+ymDctr8ee9ZD38Vdv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M1bOa3LAQAAnQMAAA4AAAAAAAAAAQAgAAAAHgEAAGRycy9lMm9E&#10;b2MueG1sUEsFBgAAAAAGAAYAWQEAAFsFAAAAAA==&#10;">
              <v:fill on="f" focussize="0,0"/>
              <v:stroke on="f"/>
              <v:imagedata o:title=""/>
              <o:lock v:ext="edit" aspectratio="f"/>
              <v:textbox inset="0mm,0mm,0mm,0mm" style="mso-fit-shape-to-text:t;">
                <w:txbxContent>
                  <w:p w14:paraId="2FAB6E9D">
                    <w:pPr>
                      <w:pStyle w:val="29"/>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885D5">
    <w:pPr>
      <w:pStyle w:val="29"/>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8" name="文本框 10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3B7AD9">
                          <w:pPr>
                            <w:pStyle w:val="29"/>
                          </w:pPr>
                          <w:r>
                            <w:fldChar w:fldCharType="begin"/>
                          </w:r>
                          <w:r>
                            <w:instrText xml:space="preserve"> PAGE  \* MERGEFORMAT </w:instrText>
                          </w:r>
                          <w:r>
                            <w:fldChar w:fldCharType="separate"/>
                          </w:r>
                          <w:r>
                            <w:t>40</w:t>
                          </w:r>
                          <w:r>
                            <w:fldChar w:fldCharType="end"/>
                          </w:r>
                        </w:p>
                      </w:txbxContent>
                    </wps:txbx>
                    <wps:bodyPr wrap="none" lIns="0" tIns="0" rIns="0" bIns="0" upright="0">
                      <a:spAutoFit/>
                    </wps:bodyPr>
                  </wps:wsp>
                </a:graphicData>
              </a:graphic>
            </wp:anchor>
          </w:drawing>
        </mc:Choice>
        <mc:Fallback>
          <w:pict>
            <v:shape id="文本框 1062"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I3QhnLAQAAnQMAAA4AAAAAAAAAAQAgAAAAHgEAAGRycy9lMm9E&#10;b2MueG1sUEsFBgAAAAAGAAYAWQEAAFsFAAAAAA==&#10;">
              <v:fill on="f" focussize="0,0"/>
              <v:stroke on="f"/>
              <v:imagedata o:title=""/>
              <o:lock v:ext="edit" aspectratio="f"/>
              <v:textbox inset="0mm,0mm,0mm,0mm" style="mso-fit-shape-to-text:t;">
                <w:txbxContent>
                  <w:p w14:paraId="6C3B7AD9">
                    <w:pPr>
                      <w:pStyle w:val="29"/>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476DCB">
    <w:pPr>
      <w:pStyle w:val="29"/>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10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0A851AC">
                          <w:pPr>
                            <w:pStyle w:val="29"/>
                            <w:jc w:val="center"/>
                          </w:pPr>
                          <w:r>
                            <w:fldChar w:fldCharType="begin"/>
                          </w:r>
                          <w:r>
                            <w:instrText xml:space="preserve">PAGE   \* MERGEFORMAT</w:instrText>
                          </w:r>
                          <w:r>
                            <w:fldChar w:fldCharType="separate"/>
                          </w:r>
                          <w:r>
                            <w:rPr>
                              <w:lang w:val="zh-CN"/>
                            </w:rPr>
                            <w:t>42</w:t>
                          </w:r>
                          <w:r>
                            <w:fldChar w:fldCharType="end"/>
                          </w:r>
                        </w:p>
                      </w:txbxContent>
                    </wps:txbx>
                    <wps:bodyPr wrap="none" lIns="0" tIns="0" rIns="0" bIns="0" upright="0">
                      <a:spAutoFit/>
                    </wps:bodyPr>
                  </wps:wsp>
                </a:graphicData>
              </a:graphic>
            </wp:anchor>
          </w:drawing>
        </mc:Choice>
        <mc:Fallback>
          <w:pict>
            <v:shape id="文本框 104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O3on87LAQAAnQMAAA4AAAAAAAAAAQAgAAAAHgEAAGRycy9lMm9E&#10;b2MueG1sUEsFBgAAAAAGAAYAWQEAAFsFAAAAAA==&#10;">
              <v:fill on="f" focussize="0,0"/>
              <v:stroke on="f"/>
              <v:imagedata o:title=""/>
              <o:lock v:ext="edit" aspectratio="f"/>
              <v:textbox inset="0mm,0mm,0mm,0mm" style="mso-fit-shape-to-text:t;">
                <w:txbxContent>
                  <w:p w14:paraId="40A851AC">
                    <w:pPr>
                      <w:pStyle w:val="29"/>
                      <w:jc w:val="center"/>
                    </w:pPr>
                    <w:r>
                      <w:fldChar w:fldCharType="begin"/>
                    </w:r>
                    <w:r>
                      <w:instrText xml:space="preserve">PAGE   \* MERGEFORMAT</w:instrText>
                    </w:r>
                    <w:r>
                      <w:fldChar w:fldCharType="separate"/>
                    </w:r>
                    <w:r>
                      <w:rPr>
                        <w:lang w:val="zh-CN"/>
                      </w:rPr>
                      <w:t>42</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65219">
    <w:pPr>
      <w:pStyle w:val="29"/>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6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1E9961B">
                          <w:pPr>
                            <w:pStyle w:val="29"/>
                          </w:pPr>
                          <w:r>
                            <w:fldChar w:fldCharType="begin"/>
                          </w:r>
                          <w:r>
                            <w:instrText xml:space="preserve"> PAGE  \* MERGEFORMAT </w:instrText>
                          </w:r>
                          <w:r>
                            <w:fldChar w:fldCharType="separate"/>
                          </w:r>
                          <w:r>
                            <w:t>41</w:t>
                          </w:r>
                          <w:r>
                            <w:fldChar w:fldCharType="end"/>
                          </w:r>
                        </w:p>
                      </w:txbxContent>
                    </wps:txbx>
                    <wps:bodyPr wrap="none" lIns="0" tIns="0" rIns="0" bIns="0" upright="0">
                      <a:spAutoFit/>
                    </wps:bodyPr>
                  </wps:wsp>
                </a:graphicData>
              </a:graphic>
            </wp:anchor>
          </w:drawing>
        </mc:Choice>
        <mc:Fallback>
          <w:pict>
            <v:shape id="文本框 1063"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aDrZr80BAACdAwAADgAAAAAAAAABACAAAAAeAQAAZHJzL2Uy&#10;b0RvYy54bWxQSwUGAAAAAAYABgBZAQAAXQUAAAAA&#10;">
              <v:fill on="f" focussize="0,0"/>
              <v:stroke on="f"/>
              <v:imagedata o:title=""/>
              <o:lock v:ext="edit" aspectratio="f"/>
              <v:textbox inset="0mm,0mm,0mm,0mm" style="mso-fit-shape-to-text:t;">
                <w:txbxContent>
                  <w:p w14:paraId="71E9961B">
                    <w:pPr>
                      <w:pStyle w:val="29"/>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6AE45">
    <w:pPr>
      <w:pStyle w:val="29"/>
    </w:pPr>
    <w:r>
      <w:rPr>
        <w:sz w:val="18"/>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106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1FE93F">
                          <w:pPr>
                            <w:pStyle w:val="29"/>
                          </w:pPr>
                          <w:r>
                            <w:fldChar w:fldCharType="begin"/>
                          </w:r>
                          <w:r>
                            <w:instrText xml:space="preserve"> PAGE  \* MERGEFORMAT </w:instrText>
                          </w:r>
                          <w:r>
                            <w:fldChar w:fldCharType="separate"/>
                          </w:r>
                          <w:r>
                            <w:t>42</w:t>
                          </w:r>
                          <w:r>
                            <w:fldChar w:fldCharType="end"/>
                          </w:r>
                        </w:p>
                      </w:txbxContent>
                    </wps:txbx>
                    <wps:bodyPr wrap="none" lIns="0" tIns="0" rIns="0" bIns="0" upright="0">
                      <a:spAutoFit/>
                    </wps:bodyPr>
                  </wps:wsp>
                </a:graphicData>
              </a:graphic>
            </wp:anchor>
          </w:drawing>
        </mc:Choice>
        <mc:Fallback>
          <w:pict>
            <v:shape id="文本框 1064"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uJkDjLAQAAnQMAAA4AAAAAAAAAAQAgAAAAHgEAAGRycy9lMm9E&#10;b2MueG1sUEsFBgAAAAAGAAYAWQEAAFsFAAAAAA==&#10;">
              <v:fill on="f" focussize="0,0"/>
              <v:stroke on="f"/>
              <v:imagedata o:title=""/>
              <o:lock v:ext="edit" aspectratio="f"/>
              <v:textbox inset="0mm,0mm,0mm,0mm" style="mso-fit-shape-to-text:t;">
                <w:txbxContent>
                  <w:p w14:paraId="041FE93F">
                    <w:pPr>
                      <w:pStyle w:val="29"/>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723A15">
    <w:pPr>
      <w:pStyle w:val="2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10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33552EE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48</w:t>
                          </w:r>
                          <w:r>
                            <w:rPr>
                              <w:rFonts w:hint="eastAsia"/>
                              <w:sz w:val="18"/>
                            </w:rPr>
                            <w:fldChar w:fldCharType="end"/>
                          </w:r>
                        </w:p>
                      </w:txbxContent>
                    </wps:txbx>
                    <wps:bodyPr wrap="none" lIns="0" tIns="0" rIns="0" bIns="0" upright="1">
                      <a:spAutoFit/>
                    </wps:bodyPr>
                  </wps:wsp>
                </a:graphicData>
              </a:graphic>
            </wp:anchor>
          </w:drawing>
        </mc:Choice>
        <mc:Fallback>
          <w:pict>
            <v:shape id="文本框 103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&#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zSVju0AAAAAUBAAAPAAAAAAAAAAEAIAAAACIAAABk&#10;cnMvZG93bnJldi54bWxQSwECFAAUAAAACACHTuJA1Gl9I9UBAACmAwAADgAAAAAAAAABACAAAAAf&#10;AQAAZHJzL2Uyb0RvYy54bWxQSwUGAAAAAAYABgBZAQAAZgUAAAAA&#10;">
              <v:fill on="f" focussize="0,0"/>
              <v:stroke on="f" weight="0.5pt"/>
              <v:imagedata o:title=""/>
              <o:lock v:ext="edit" aspectratio="f"/>
              <v:textbox inset="0mm,0mm,0mm,0mm" style="mso-fit-shape-to-text:t;">
                <w:txbxContent>
                  <w:p w14:paraId="33552EE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48</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C9D4A">
    <w:pPr>
      <w:pStyle w:val="29"/>
    </w:pPr>
    <w:r>
      <w:rPr>
        <w:sz w:val="18"/>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6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31B3D6">
                          <w:pPr>
                            <w:pStyle w:val="29"/>
                          </w:pPr>
                          <w:r>
                            <w:fldChar w:fldCharType="begin"/>
                          </w:r>
                          <w:r>
                            <w:instrText xml:space="preserve"> PAGE  \* MERGEFORMAT </w:instrText>
                          </w:r>
                          <w:r>
                            <w:fldChar w:fldCharType="separate"/>
                          </w:r>
                          <w:r>
                            <w:t>43</w:t>
                          </w:r>
                          <w:r>
                            <w:fldChar w:fldCharType="end"/>
                          </w:r>
                        </w:p>
                      </w:txbxContent>
                    </wps:txbx>
                    <wps:bodyPr wrap="none" lIns="0" tIns="0" rIns="0" bIns="0" upright="0">
                      <a:spAutoFit/>
                    </wps:bodyPr>
                  </wps:wsp>
                </a:graphicData>
              </a:graphic>
            </wp:anchor>
          </w:drawing>
        </mc:Choice>
        <mc:Fallback>
          <w:pict>
            <v:shape id="文本框 1065"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hhAuOzAEAAJ0DAAAOAAAAAAAAAAEAIAAAAB4BAABkcnMvZTJv&#10;RG9jLnhtbFBLBQYAAAAABgAGAFkBAABcBQAAAAA=&#10;">
              <v:fill on="f" focussize="0,0"/>
              <v:stroke on="f"/>
              <v:imagedata o:title=""/>
              <o:lock v:ext="edit" aspectratio="f"/>
              <v:textbox inset="0mm,0mm,0mm,0mm" style="mso-fit-shape-to-text:t;">
                <w:txbxContent>
                  <w:p w14:paraId="7A31B3D6">
                    <w:pPr>
                      <w:pStyle w:val="29"/>
                    </w:pPr>
                    <w:r>
                      <w:fldChar w:fldCharType="begin"/>
                    </w:r>
                    <w:r>
                      <w:instrText xml:space="preserve"> PAGE  \* MERGEFORMAT </w:instrText>
                    </w:r>
                    <w:r>
                      <w:fldChar w:fldCharType="separate"/>
                    </w:r>
                    <w:r>
                      <w:t>43</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A7BD62">
    <w:pPr>
      <w:pStyle w:val="29"/>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10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E17C3F">
                          <w:pPr>
                            <w:pStyle w:val="29"/>
                          </w:pPr>
                          <w:r>
                            <w:fldChar w:fldCharType="begin"/>
                          </w:r>
                          <w:r>
                            <w:instrText xml:space="preserve"> PAGE  \* MERGEFORMAT </w:instrText>
                          </w:r>
                          <w:r>
                            <w:fldChar w:fldCharType="separate"/>
                          </w:r>
                          <w:r>
                            <w:t>44</w:t>
                          </w:r>
                          <w:r>
                            <w:fldChar w:fldCharType="end"/>
                          </w:r>
                        </w:p>
                      </w:txbxContent>
                    </wps:txbx>
                    <wps:bodyPr wrap="none" lIns="0" tIns="0" rIns="0" bIns="0" upright="0">
                      <a:spAutoFit/>
                    </wps:bodyPr>
                  </wps:wsp>
                </a:graphicData>
              </a:graphic>
            </wp:anchor>
          </w:drawing>
        </mc:Choice>
        <mc:Fallback>
          <w:pict>
            <v:shape id="文本框 106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H6U147LAQAAnQMAAA4AAAAAAAAAAQAgAAAAHgEAAGRycy9lMm9E&#10;b2MueG1sUEsFBgAAAAAGAAYAWQEAAFsFAAAAAA==&#10;">
              <v:fill on="f" focussize="0,0"/>
              <v:stroke on="f"/>
              <v:imagedata o:title=""/>
              <o:lock v:ext="edit" aspectratio="f"/>
              <v:textbox inset="0mm,0mm,0mm,0mm" style="mso-fit-shape-to-text:t;">
                <w:txbxContent>
                  <w:p w14:paraId="48E17C3F">
                    <w:pPr>
                      <w:pStyle w:val="29"/>
                    </w:pPr>
                    <w:r>
                      <w:fldChar w:fldCharType="begin"/>
                    </w:r>
                    <w:r>
                      <w:instrText xml:space="preserve"> PAGE  \* MERGEFORMAT </w:instrText>
                    </w:r>
                    <w:r>
                      <w:fldChar w:fldCharType="separate"/>
                    </w:r>
                    <w:r>
                      <w:t>44</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188767">
    <w:pPr>
      <w:pStyle w:val="29"/>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6C7916C">
                          <w:pPr>
                            <w:pStyle w:val="29"/>
                          </w:pPr>
                          <w:r>
                            <w:fldChar w:fldCharType="begin"/>
                          </w:r>
                          <w:r>
                            <w:instrText xml:space="preserve"> PAGE  \* MERGEFORMAT </w:instrText>
                          </w:r>
                          <w:r>
                            <w:fldChar w:fldCharType="separate"/>
                          </w:r>
                          <w:r>
                            <w:t>46</w:t>
                          </w:r>
                          <w:r>
                            <w:fldChar w:fldCharType="end"/>
                          </w:r>
                        </w:p>
                      </w:txbxContent>
                    </wps:txbx>
                    <wps:bodyPr wrap="none" lIns="0" tIns="0" rIns="0" bIns="0" upright="0">
                      <a:spAutoFit/>
                    </wps:bodyPr>
                  </wps:wsp>
                </a:graphicData>
              </a:graphic>
            </wp:anchor>
          </w:drawing>
        </mc:Choice>
        <mc:Fallback>
          <w:pict>
            <v:shape id="文本框 1067"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tJlMOM0BAACdAwAADgAAAAAAAAABACAAAAAeAQAAZHJzL2Uy&#10;b0RvYy54bWxQSwUGAAAAAAYABgBZAQAAXQUAAAAA&#10;">
              <v:fill on="f" focussize="0,0"/>
              <v:stroke on="f"/>
              <v:imagedata o:title=""/>
              <o:lock v:ext="edit" aspectratio="f"/>
              <v:textbox inset="0mm,0mm,0mm,0mm" style="mso-fit-shape-to-text:t;">
                <w:txbxContent>
                  <w:p w14:paraId="46C7916C">
                    <w:pPr>
                      <w:pStyle w:val="29"/>
                    </w:pPr>
                    <w:r>
                      <w:fldChar w:fldCharType="begin"/>
                    </w:r>
                    <w:r>
                      <w:instrText xml:space="preserve"> PAGE  \* MERGEFORMAT </w:instrText>
                    </w:r>
                    <w:r>
                      <w:fldChar w:fldCharType="separate"/>
                    </w:r>
                    <w:r>
                      <w:t>46</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DEFB9F">
    <w:pPr>
      <w:pStyle w:val="29"/>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4" name="文本框 10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A347A4">
                          <w:pPr>
                            <w:pStyle w:val="29"/>
                          </w:pPr>
                          <w:r>
                            <w:fldChar w:fldCharType="begin"/>
                          </w:r>
                          <w:r>
                            <w:instrText xml:space="preserve"> PAGE  \* MERGEFORMAT </w:instrText>
                          </w:r>
                          <w:r>
                            <w:fldChar w:fldCharType="separate"/>
                          </w:r>
                          <w:r>
                            <w:t>61</w:t>
                          </w:r>
                          <w:r>
                            <w:fldChar w:fldCharType="end"/>
                          </w:r>
                        </w:p>
                      </w:txbxContent>
                    </wps:txbx>
                    <wps:bodyPr wrap="none" lIns="0" tIns="0" rIns="0" bIns="0" upright="0">
                      <a:spAutoFit/>
                    </wps:bodyPr>
                  </wps:wsp>
                </a:graphicData>
              </a:graphic>
            </wp:anchor>
          </w:drawing>
        </mc:Choice>
        <mc:Fallback>
          <w:pict>
            <v:shape id="文本框 1068"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BInPVVzAEAAJ0DAAAOAAAAAAAAAAEAIAAAAB4BAABkcnMvZTJv&#10;RG9jLnhtbFBLBQYAAAAABgAGAFkBAABcBQAAAAA=&#10;">
              <v:fill on="f" focussize="0,0"/>
              <v:stroke on="f"/>
              <v:imagedata o:title=""/>
              <o:lock v:ext="edit" aspectratio="f"/>
              <v:textbox inset="0mm,0mm,0mm,0mm" style="mso-fit-shape-to-text:t;">
                <w:txbxContent>
                  <w:p w14:paraId="1AA347A4">
                    <w:pPr>
                      <w:pStyle w:val="29"/>
                    </w:pPr>
                    <w:r>
                      <w:fldChar w:fldCharType="begin"/>
                    </w:r>
                    <w:r>
                      <w:instrText xml:space="preserve"> PAGE  \* MERGEFORMAT </w:instrText>
                    </w:r>
                    <w:r>
                      <w:fldChar w:fldCharType="separate"/>
                    </w:r>
                    <w:r>
                      <w:t>61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08214">
    <w:pPr>
      <w:pStyle w:val="29"/>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10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463C10">
                          <w:pPr>
                            <w:pStyle w:val="29"/>
                          </w:pPr>
                          <w:r>
                            <w:fldChar w:fldCharType="begin"/>
                          </w:r>
                          <w:r>
                            <w:instrText xml:space="preserve"> PAGE  \* MERGEFORMAT </w:instrText>
                          </w:r>
                          <w:r>
                            <w:fldChar w:fldCharType="separate"/>
                          </w:r>
                          <w:r>
                            <w:t>5</w:t>
                          </w:r>
                          <w:r>
                            <w:fldChar w:fldCharType="end"/>
                          </w:r>
                        </w:p>
                      </w:txbxContent>
                    </wps:txbx>
                    <wps:bodyPr wrap="none" lIns="0" tIns="0" rIns="0" bIns="0" upright="0">
                      <a:spAutoFit/>
                    </wps:bodyPr>
                  </wps:wsp>
                </a:graphicData>
              </a:graphic>
            </wp:anchor>
          </w:drawing>
        </mc:Choice>
        <mc:Fallback>
          <w:pict>
            <v:shape id="文本框 104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49dh4zAEAAJ0DAAAOAAAAAAAAAAEAIAAAAB4BAABkcnMvZTJv&#10;RG9jLnhtbFBLBQYAAAAABgAGAFkBAABcBQAAAAA=&#10;">
              <v:fill on="f" focussize="0,0"/>
              <v:stroke on="f"/>
              <v:imagedata o:title=""/>
              <o:lock v:ext="edit" aspectratio="f"/>
              <v:textbox inset="0mm,0mm,0mm,0mm" style="mso-fit-shape-to-text:t;">
                <w:txbxContent>
                  <w:p w14:paraId="2C463C10">
                    <w:pPr>
                      <w:pStyle w:val="29"/>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AD67C">
    <w:pPr>
      <w:pStyle w:val="29"/>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10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FBD1478">
                          <w:pPr>
                            <w:pStyle w:val="29"/>
                          </w:pPr>
                          <w:r>
                            <w:fldChar w:fldCharType="begin"/>
                          </w:r>
                          <w:r>
                            <w:instrText xml:space="preserve"> PAGE  \* MERGEFORMAT </w:instrText>
                          </w:r>
                          <w:r>
                            <w:fldChar w:fldCharType="separate"/>
                          </w:r>
                          <w:r>
                            <w:t>23</w:t>
                          </w:r>
                          <w:r>
                            <w:fldChar w:fldCharType="end"/>
                          </w:r>
                        </w:p>
                      </w:txbxContent>
                    </wps:txbx>
                    <wps:bodyPr wrap="none" lIns="0" tIns="0" rIns="0" bIns="0" upright="0">
                      <a:spAutoFit/>
                    </wps:bodyPr>
                  </wps:wsp>
                </a:graphicData>
              </a:graphic>
            </wp:anchor>
          </w:drawing>
        </mc:Choice>
        <mc:Fallback>
          <w:pict>
            <v:shape id="文本框 1047"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8vhDzs0BAACdAwAADgAAAAAAAAABACAAAAAeAQAAZHJzL2Uy&#10;b0RvYy54bWxQSwUGAAAAAAYABgBZAQAAXQUAAAAA&#10;">
              <v:fill on="f" focussize="0,0"/>
              <v:stroke on="f"/>
              <v:imagedata o:title=""/>
              <o:lock v:ext="edit" aspectratio="f"/>
              <v:textbox inset="0mm,0mm,0mm,0mm" style="mso-fit-shape-to-text:t;">
                <w:txbxContent>
                  <w:p w14:paraId="3FBD1478">
                    <w:pPr>
                      <w:pStyle w:val="29"/>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13F86">
    <w:pPr>
      <w:pStyle w:val="29"/>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10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CB3AB1">
                          <w:pPr>
                            <w:pStyle w:val="29"/>
                          </w:pPr>
                          <w:r>
                            <w:fldChar w:fldCharType="begin"/>
                          </w:r>
                          <w:r>
                            <w:instrText xml:space="preserve"> PAGE  \* MERGEFORMAT </w:instrText>
                          </w:r>
                          <w:r>
                            <w:fldChar w:fldCharType="separate"/>
                          </w:r>
                          <w:r>
                            <w:t>24</w:t>
                          </w:r>
                          <w:r>
                            <w:fldChar w:fldCharType="end"/>
                          </w:r>
                        </w:p>
                      </w:txbxContent>
                    </wps:txbx>
                    <wps:bodyPr wrap="none" lIns="0" tIns="0" rIns="0" bIns="0" upright="0">
                      <a:spAutoFit/>
                    </wps:bodyPr>
                  </wps:wsp>
                </a:graphicData>
              </a:graphic>
            </wp:anchor>
          </w:drawing>
        </mc:Choice>
        <mc:Fallback>
          <w:pict>
            <v:shape id="文本框 1048"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O/fqjzAEAAJ0DAAAOAAAAAAAAAAEAIAAAAB4BAABkcnMvZTJv&#10;RG9jLnhtbFBLBQYAAAAABgAGAFkBAABcBQAAAAA=&#10;">
              <v:fill on="f" focussize="0,0"/>
              <v:stroke on="f"/>
              <v:imagedata o:title=""/>
              <o:lock v:ext="edit" aspectratio="f"/>
              <v:textbox inset="0mm,0mm,0mm,0mm" style="mso-fit-shape-to-text:t;">
                <w:txbxContent>
                  <w:p w14:paraId="77CB3AB1">
                    <w:pPr>
                      <w:pStyle w:val="29"/>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59862">
    <w:pPr>
      <w:pStyle w:val="29"/>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1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713872">
                          <w:pPr>
                            <w:pStyle w:val="29"/>
                          </w:pPr>
                          <w:r>
                            <w:fldChar w:fldCharType="begin"/>
                          </w:r>
                          <w:r>
                            <w:instrText xml:space="preserve"> PAGE  \* MERGEFORMAT </w:instrText>
                          </w:r>
                          <w:r>
                            <w:fldChar w:fldCharType="separate"/>
                          </w:r>
                          <w:r>
                            <w:t>25</w:t>
                          </w:r>
                          <w:r>
                            <w:fldChar w:fldCharType="end"/>
                          </w:r>
                        </w:p>
                      </w:txbxContent>
                    </wps:txbx>
                    <wps:bodyPr wrap="none" lIns="0" tIns="0" rIns="0" bIns="0" upright="0">
                      <a:spAutoFit/>
                    </wps:bodyPr>
                  </wps:wsp>
                </a:graphicData>
              </a:graphic>
            </wp:anchor>
          </w:drawing>
        </mc:Choice>
        <mc:Fallback>
          <w:pict>
            <v:shape id="文本框 1049"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E8GEVzAEAAJ0DAAAOAAAAAAAAAAEAIAAAAB4BAABkcnMvZTJv&#10;RG9jLnhtbFBLBQYAAAAABgAGAFkBAABcBQAAAAA=&#10;">
              <v:fill on="f" focussize="0,0"/>
              <v:stroke on="f"/>
              <v:imagedata o:title=""/>
              <o:lock v:ext="edit" aspectratio="f"/>
              <v:textbox inset="0mm,0mm,0mm,0mm" style="mso-fit-shape-to-text:t;">
                <w:txbxContent>
                  <w:p w14:paraId="1B713872">
                    <w:pPr>
                      <w:pStyle w:val="29"/>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C72ADF">
    <w:pPr>
      <w:pStyle w:val="29"/>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1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4F51A3">
                          <w:pPr>
                            <w:pStyle w:val="29"/>
                          </w:pPr>
                          <w:r>
                            <w:fldChar w:fldCharType="begin"/>
                          </w:r>
                          <w:r>
                            <w:instrText xml:space="preserve"> PAGE  \* MERGEFORMAT </w:instrText>
                          </w:r>
                          <w:r>
                            <w:fldChar w:fldCharType="separate"/>
                          </w:r>
                          <w:r>
                            <w:t>27</w:t>
                          </w:r>
                          <w:r>
                            <w:fldChar w:fldCharType="end"/>
                          </w:r>
                        </w:p>
                      </w:txbxContent>
                    </wps:txbx>
                    <wps:bodyPr wrap="none" lIns="0" tIns="0" rIns="0" bIns="0" upright="0">
                      <a:spAutoFit/>
                    </wps:bodyPr>
                  </wps:wsp>
                </a:graphicData>
              </a:graphic>
            </wp:anchor>
          </w:drawing>
        </mc:Choice>
        <mc:Fallback>
          <w:pict>
            <v:shape id="文本框 1050"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CIZ2OzAEAAJ0DAAAOAAAAAAAAAAEAIAAAAB4BAABkcnMvZTJv&#10;RG9jLnhtbFBLBQYAAAAABgAGAFkBAABcBQAAAAA=&#10;">
              <v:fill on="f" focussize="0,0"/>
              <v:stroke on="f"/>
              <v:imagedata o:title=""/>
              <o:lock v:ext="edit" aspectratio="f"/>
              <v:textbox inset="0mm,0mm,0mm,0mm" style="mso-fit-shape-to-text:t;">
                <w:txbxContent>
                  <w:p w14:paraId="444F51A3">
                    <w:pPr>
                      <w:pStyle w:val="29"/>
                    </w:pPr>
                    <w:r>
                      <w:fldChar w:fldCharType="begin"/>
                    </w:r>
                    <w:r>
                      <w:instrText xml:space="preserve"> PAGE  \* MERGEFORMAT </w:instrText>
                    </w:r>
                    <w:r>
                      <w:fldChar w:fldCharType="separate"/>
                    </w:r>
                    <w:r>
                      <w:t>27</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589F9">
    <w:pPr>
      <w:pStyle w:val="29"/>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1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9B4DBD2">
                          <w:pPr>
                            <w:pStyle w:val="29"/>
                          </w:pPr>
                          <w:r>
                            <w:fldChar w:fldCharType="begin"/>
                          </w:r>
                          <w:r>
                            <w:instrText xml:space="preserve"> PAGE  \* MERGEFORMAT </w:instrText>
                          </w:r>
                          <w:r>
                            <w:fldChar w:fldCharType="separate"/>
                          </w:r>
                          <w:r>
                            <w:t>28</w:t>
                          </w:r>
                          <w:r>
                            <w:fldChar w:fldCharType="end"/>
                          </w:r>
                        </w:p>
                      </w:txbxContent>
                    </wps:txbx>
                    <wps:bodyPr wrap="none" lIns="0" tIns="0" rIns="0" bIns="0" upright="0">
                      <a:spAutoFit/>
                    </wps:bodyPr>
                  </wps:wsp>
                </a:graphicData>
              </a:graphic>
            </wp:anchor>
          </w:drawing>
        </mc:Choice>
        <mc:Fallback>
          <w:pict>
            <v:shape id="文本框 1051"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ILAY4zAEAAJ0DAAAOAAAAAAAAAAEAIAAAAB4BAABkcnMvZTJv&#10;RG9jLnhtbFBLBQYAAAAABgAGAFkBAABcBQAAAAA=&#10;">
              <v:fill on="f" focussize="0,0"/>
              <v:stroke on="f"/>
              <v:imagedata o:title=""/>
              <o:lock v:ext="edit" aspectratio="f"/>
              <v:textbox inset="0mm,0mm,0mm,0mm" style="mso-fit-shape-to-text:t;">
                <w:txbxContent>
                  <w:p w14:paraId="59B4DBD2">
                    <w:pPr>
                      <w:pStyle w:val="29"/>
                    </w:pPr>
                    <w:r>
                      <w:fldChar w:fldCharType="begin"/>
                    </w:r>
                    <w:r>
                      <w:instrText xml:space="preserve"> PAGE  \* MERGEFORMAT </w:instrText>
                    </w:r>
                    <w:r>
                      <w:fldChar w:fldCharType="separate"/>
                    </w:r>
                    <w:r>
                      <w:t>28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86F1D">
    <w:pPr>
      <w:pStyle w:val="29"/>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1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18AE451">
                          <w:pPr>
                            <w:pStyle w:val="29"/>
                          </w:pPr>
                          <w:r>
                            <w:fldChar w:fldCharType="begin"/>
                          </w:r>
                          <w:r>
                            <w:instrText xml:space="preserve"> PAGE  \* MERGEFORMAT </w:instrText>
                          </w:r>
                          <w:r>
                            <w:fldChar w:fldCharType="separate"/>
                          </w:r>
                          <w:r>
                            <w:t>29</w:t>
                          </w:r>
                          <w:r>
                            <w:fldChar w:fldCharType="end"/>
                          </w:r>
                        </w:p>
                      </w:txbxContent>
                    </wps:txbx>
                    <wps:bodyPr wrap="none" lIns="0" tIns="0" rIns="0" bIns="0" upright="0">
                      <a:spAutoFit/>
                    </wps:bodyPr>
                  </wps:wsp>
                </a:graphicData>
              </a:graphic>
            </wp:anchor>
          </w:drawing>
        </mc:Choice>
        <mc:Fallback>
          <w:pict>
            <v:shape id="文本框 1052"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0B9jMsBAACdAwAADgAAAGRycy9lMm9Eb2MueG1srVPNjtMwEL4j8Q6W&#10;79RpB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sS5O25x4pfv3y4/fl1+fiXL&#10;6tUqS9QHqDHzLmBuGt76ARdn9gM6M/NBRZu/yIlgHAU+XwWWQyIiP1qv1usKQwJj8wXx2cPzECG9&#10;k96SbDQ04gSLsPz0AdKYOqfkas7famPKFI37y4GY2cNy72OP2UrDfpgI7X17Rj49Dr+hDnedEvPe&#10;obZ5T2YjzsZ+No4h6kNXFinXg/DmmLCJ0luuMMJOhXFqhd20YXkt/ryXrIe/avs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KdAfYzLAQAAnQMAAA4AAAAAAAAAAQAgAAAAHgEAAGRycy9lMm9E&#10;b2MueG1sUEsFBgAAAAAGAAYAWQEAAFsFAAAAAA==&#10;">
              <v:fill on="f" focussize="0,0"/>
              <v:stroke on="f"/>
              <v:imagedata o:title=""/>
              <o:lock v:ext="edit" aspectratio="f"/>
              <v:textbox inset="0mm,0mm,0mm,0mm" style="mso-fit-shape-to-text:t;">
                <w:txbxContent>
                  <w:p w14:paraId="018AE451">
                    <w:pPr>
                      <w:pStyle w:val="29"/>
                    </w:pPr>
                    <w:r>
                      <w:fldChar w:fldCharType="begin"/>
                    </w:r>
                    <w:r>
                      <w:instrText xml:space="preserve"> PAGE  \* MERGEFORMAT </w:instrText>
                    </w:r>
                    <w:r>
                      <w:fldChar w:fldCharType="separate"/>
                    </w:r>
                    <w:r>
                      <w:t>29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9BFF1">
    <w:pPr>
      <w:pStyle w:val="30"/>
      <w:pBdr>
        <w:bottom w:val="none" w:color="auto" w:sz="0" w:space="0"/>
      </w:pBdr>
    </w:pPr>
    <w:r>
      <w:rPr>
        <w:lang w:val="en-US" w:eastAsia="zh-CN"/>
      </w:rPr>
      <w:drawing>
        <wp:anchor distT="0" distB="0" distL="114300" distR="114300" simplePos="0" relativeHeight="251684864" behindDoc="1" locked="0" layoutInCell="1" allowOverlap="1">
          <wp:simplePos x="0" y="0"/>
          <wp:positionH relativeFrom="column">
            <wp:posOffset>284480</wp:posOffset>
          </wp:positionH>
          <wp:positionV relativeFrom="paragraph">
            <wp:posOffset>-52705</wp:posOffset>
          </wp:positionV>
          <wp:extent cx="314325" cy="353695"/>
          <wp:effectExtent l="0" t="0" r="9525" b="8255"/>
          <wp:wrapNone/>
          <wp:docPr id="6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 descr="IMG_256"/>
                  <pic:cNvPicPr>
                    <a:picLocks noChangeAspect="1"/>
                  </pic:cNvPicPr>
                </pic:nvPicPr>
                <pic:blipFill>
                  <a:blip r:embed="rId1"/>
                  <a:stretch>
                    <a:fillRect/>
                  </a:stretch>
                </pic:blipFill>
                <pic:spPr>
                  <a:xfrm>
                    <a:off x="0" y="0"/>
                    <a:ext cx="314325" cy="353695"/>
                  </a:xfrm>
                  <a:prstGeom prst="rect">
                    <a:avLst/>
                  </a:prstGeom>
                  <a:noFill/>
                  <a:ln>
                    <a:noFill/>
                  </a:ln>
                </pic:spPr>
              </pic:pic>
            </a:graphicData>
          </a:graphic>
        </wp:anchor>
      </w:drawing>
    </w:r>
    <w:r>
      <w:drawing>
        <wp:anchor distT="0" distB="0" distL="114300" distR="114300" simplePos="0" relativeHeight="251683840" behindDoc="0" locked="0" layoutInCell="1" allowOverlap="1">
          <wp:simplePos x="0" y="0"/>
          <wp:positionH relativeFrom="column">
            <wp:posOffset>600075</wp:posOffset>
          </wp:positionH>
          <wp:positionV relativeFrom="paragraph">
            <wp:posOffset>2540</wp:posOffset>
          </wp:positionV>
          <wp:extent cx="1926590" cy="285115"/>
          <wp:effectExtent l="0" t="0" r="16510" b="635"/>
          <wp:wrapSquare wrapText="bothSides"/>
          <wp:docPr id="65" name="图片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070"/>
                  <pic:cNvPicPr>
                    <a:picLocks noChangeAspect="1"/>
                  </pic:cNvPicPr>
                </pic:nvPicPr>
                <pic:blipFill>
                  <a:blip r:embed="rId2"/>
                  <a:stretch>
                    <a:fillRect/>
                  </a:stretch>
                </pic:blipFill>
                <pic:spPr>
                  <a:xfrm>
                    <a:off x="0" y="0"/>
                    <a:ext cx="1926590" cy="285115"/>
                  </a:xfrm>
                  <a:prstGeom prst="rect">
                    <a:avLst/>
                  </a:prstGeom>
                  <a:noFill/>
                  <a:ln>
                    <a:noFill/>
                  </a:ln>
                </pic:spPr>
              </pic:pic>
            </a:graphicData>
          </a:graphic>
        </wp:anchor>
      </w:drawing>
    </w:r>
    <w:r>
      <w:rPr>
        <w:sz w:val="18"/>
      </w:rPr>
      <w:drawing>
        <wp:anchor distT="0" distB="0" distL="114300" distR="114300" simplePos="0" relativeHeight="251720704" behindDoc="1" locked="0" layoutInCell="1" allowOverlap="1">
          <wp:simplePos x="0" y="0"/>
          <wp:positionH relativeFrom="margin">
            <wp:align>center</wp:align>
          </wp:positionH>
          <wp:positionV relativeFrom="margin">
            <wp:align>center</wp:align>
          </wp:positionV>
          <wp:extent cx="5274310" cy="5836285"/>
          <wp:effectExtent l="0" t="0" r="2540" b="12065"/>
          <wp:wrapNone/>
          <wp:docPr id="105" name="WordPictureWatermark83126" descr="五邑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WordPictureWatermark83126" descr="五邑水印"/>
                  <pic:cNvPicPr>
                    <a:picLocks noChangeAspect="1"/>
                  </pic:cNvPicPr>
                </pic:nvPicPr>
                <pic:blipFill>
                  <a:blip r:embed="rId3"/>
                  <a:stretch>
                    <a:fillRect/>
                  </a:stretch>
                </pic:blipFill>
                <pic:spPr>
                  <a:xfrm>
                    <a:off x="0" y="0"/>
                    <a:ext cx="5274310" cy="5836285"/>
                  </a:xfrm>
                  <a:prstGeom prst="rect">
                    <a:avLst/>
                  </a:prstGeom>
                  <a:noFill/>
                  <a:ln>
                    <a:noFill/>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EFD1B">
    <w:pPr>
      <w:pStyle w:val="30"/>
      <w:pBdr>
        <w:bottom w:val="none" w:color="auto" w:sz="0" w:space="1"/>
      </w:pBdr>
    </w:pPr>
    <w:r>
      <w:drawing>
        <wp:anchor distT="0" distB="0" distL="114300" distR="114300" simplePos="0" relativeHeight="251701248" behindDoc="1" locked="0" layoutInCell="1" allowOverlap="1">
          <wp:simplePos x="0" y="0"/>
          <wp:positionH relativeFrom="column">
            <wp:posOffset>36830</wp:posOffset>
          </wp:positionH>
          <wp:positionV relativeFrom="paragraph">
            <wp:posOffset>-100330</wp:posOffset>
          </wp:positionV>
          <wp:extent cx="314325" cy="353695"/>
          <wp:effectExtent l="0" t="0" r="5715" b="12065"/>
          <wp:wrapNone/>
          <wp:docPr id="109" name="图片 105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52" descr="IMG_256"/>
                  <pic:cNvPicPr>
                    <a:picLocks noChangeAspect="1"/>
                  </pic:cNvPicPr>
                </pic:nvPicPr>
                <pic:blipFill>
                  <a:blip r:embed="rId1"/>
                  <a:stretch>
                    <a:fillRect/>
                  </a:stretch>
                </pic:blipFill>
                <pic:spPr>
                  <a:xfrm>
                    <a:off x="0" y="0"/>
                    <a:ext cx="314325" cy="353695"/>
                  </a:xfrm>
                  <a:prstGeom prst="rect">
                    <a:avLst/>
                  </a:prstGeom>
                  <a:noFill/>
                  <a:ln>
                    <a:noFill/>
                  </a:ln>
                </pic:spPr>
              </pic:pic>
            </a:graphicData>
          </a:graphic>
        </wp:anchor>
      </w:drawing>
    </w:r>
    <w:r>
      <w:drawing>
        <wp:anchor distT="0" distB="0" distL="114300" distR="114300" simplePos="0" relativeHeight="251700224" behindDoc="0" locked="0" layoutInCell="1" allowOverlap="1">
          <wp:simplePos x="0" y="0"/>
          <wp:positionH relativeFrom="column">
            <wp:posOffset>363855</wp:posOffset>
          </wp:positionH>
          <wp:positionV relativeFrom="paragraph">
            <wp:posOffset>-44450</wp:posOffset>
          </wp:positionV>
          <wp:extent cx="1926590" cy="237490"/>
          <wp:effectExtent l="0" t="0" r="8890" b="6350"/>
          <wp:wrapSquare wrapText="bothSides"/>
          <wp:docPr id="110" name="图片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50"/>
                  <pic:cNvPicPr>
                    <a:picLocks noChangeAspect="1"/>
                  </pic:cNvPicPr>
                </pic:nvPicPr>
                <pic:blipFill>
                  <a:blip r:embed="rId2"/>
                  <a:stretch>
                    <a:fillRect/>
                  </a:stretch>
                </pic:blipFill>
                <pic:spPr>
                  <a:xfrm>
                    <a:off x="0" y="0"/>
                    <a:ext cx="1926590" cy="237490"/>
                  </a:xfrm>
                  <a:prstGeom prst="rect">
                    <a:avLst/>
                  </a:prstGeom>
                  <a:noFill/>
                  <a:ln>
                    <a:noFill/>
                  </a:ln>
                </pic:spPr>
              </pic:pic>
            </a:graphicData>
          </a:graphic>
        </wp:anchor>
      </w:drawing>
    </w:r>
    <w:r>
      <w:drawing>
        <wp:anchor distT="0" distB="0" distL="114300" distR="114300" simplePos="0" relativeHeight="251721728" behindDoc="1" locked="0" layoutInCell="1" allowOverlap="1">
          <wp:simplePos x="0" y="0"/>
          <wp:positionH relativeFrom="margin">
            <wp:align>center</wp:align>
          </wp:positionH>
          <wp:positionV relativeFrom="margin">
            <wp:align>center</wp:align>
          </wp:positionV>
          <wp:extent cx="5274310" cy="5836285"/>
          <wp:effectExtent l="0" t="0" r="13970" b="635"/>
          <wp:wrapNone/>
          <wp:docPr id="111" name="图片 1076" descr="五邑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076" descr="五邑水印"/>
                  <pic:cNvPicPr>
                    <a:picLocks noChangeAspect="1"/>
                  </pic:cNvPicPr>
                </pic:nvPicPr>
                <pic:blipFill>
                  <a:blip r:embed="rId3"/>
                  <a:stretch>
                    <a:fillRect/>
                  </a:stretch>
                </pic:blipFill>
                <pic:spPr>
                  <a:xfrm>
                    <a:off x="0" y="0"/>
                    <a:ext cx="5274310" cy="5836285"/>
                  </a:xfrm>
                  <a:prstGeom prst="rect">
                    <a:avLst/>
                  </a:prstGeom>
                  <a:noFill/>
                  <a:ln>
                    <a:noFill/>
                  </a:ln>
                </pic:spPr>
              </pic:pic>
            </a:graphicData>
          </a:graphic>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CD7977">
    <w:pPr>
      <w:pStyle w:val="30"/>
      <w:pBdr>
        <w:bottom w:val="none" w:color="auto" w:sz="0" w:space="1"/>
      </w:pBdr>
    </w:pPr>
    <w:r>
      <w:rPr>
        <w:lang w:val="en-US" w:eastAsia="zh-CN"/>
      </w:rPr>
      <w:drawing>
        <wp:anchor distT="0" distB="0" distL="114300" distR="114300" simplePos="0" relativeHeight="251693056" behindDoc="1" locked="0" layoutInCell="1" allowOverlap="1">
          <wp:simplePos x="0" y="0"/>
          <wp:positionH relativeFrom="column">
            <wp:posOffset>284480</wp:posOffset>
          </wp:positionH>
          <wp:positionV relativeFrom="paragraph">
            <wp:posOffset>-52705</wp:posOffset>
          </wp:positionV>
          <wp:extent cx="314325" cy="353695"/>
          <wp:effectExtent l="0" t="0" r="9525" b="8255"/>
          <wp:wrapNone/>
          <wp:docPr id="74" name="图片 107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079" descr="IMG_256"/>
                  <pic:cNvPicPr>
                    <a:picLocks noChangeAspect="1"/>
                  </pic:cNvPicPr>
                </pic:nvPicPr>
                <pic:blipFill>
                  <a:blip r:embed="rId1"/>
                  <a:stretch>
                    <a:fillRect/>
                  </a:stretch>
                </pic:blipFill>
                <pic:spPr>
                  <a:xfrm>
                    <a:off x="0" y="0"/>
                    <a:ext cx="314325" cy="353695"/>
                  </a:xfrm>
                  <a:prstGeom prst="rect">
                    <a:avLst/>
                  </a:prstGeom>
                  <a:noFill/>
                  <a:ln>
                    <a:noFill/>
                  </a:ln>
                </pic:spPr>
              </pic:pic>
            </a:graphicData>
          </a:graphic>
        </wp:anchor>
      </w:drawing>
    </w:r>
    <w:r>
      <w:drawing>
        <wp:anchor distT="0" distB="0" distL="114300" distR="114300" simplePos="0" relativeHeight="251692032" behindDoc="0" locked="0" layoutInCell="1" allowOverlap="1">
          <wp:simplePos x="0" y="0"/>
          <wp:positionH relativeFrom="column">
            <wp:posOffset>600075</wp:posOffset>
          </wp:positionH>
          <wp:positionV relativeFrom="paragraph">
            <wp:posOffset>2540</wp:posOffset>
          </wp:positionV>
          <wp:extent cx="1926590" cy="285115"/>
          <wp:effectExtent l="0" t="0" r="16510" b="635"/>
          <wp:wrapSquare wrapText="bothSides"/>
          <wp:docPr id="73" name="图片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078"/>
                  <pic:cNvPicPr>
                    <a:picLocks noChangeAspect="1"/>
                  </pic:cNvPicPr>
                </pic:nvPicPr>
                <pic:blipFill>
                  <a:blip r:embed="rId2"/>
                  <a:stretch>
                    <a:fillRect/>
                  </a:stretch>
                </pic:blipFill>
                <pic:spPr>
                  <a:xfrm>
                    <a:off x="0" y="0"/>
                    <a:ext cx="1926590" cy="285115"/>
                  </a:xfrm>
                  <a:prstGeom prst="rect">
                    <a:avLst/>
                  </a:prstGeom>
                  <a:noFill/>
                  <a:ln>
                    <a:noFill/>
                  </a:ln>
                </pic:spPr>
              </pic:pic>
            </a:graphicData>
          </a:graphic>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D1695">
    <w:pPr>
      <w:pStyle w:val="30"/>
      <w:pBdr>
        <w:bottom w:val="none" w:color="auto" w:sz="0" w:space="1"/>
      </w:pBdr>
    </w:pPr>
    <w:r>
      <w:drawing>
        <wp:anchor distT="0" distB="0" distL="114300" distR="114300" simplePos="0" relativeHeight="251695104" behindDoc="0" locked="0" layoutInCell="1" allowOverlap="1">
          <wp:simplePos x="0" y="0"/>
          <wp:positionH relativeFrom="column">
            <wp:posOffset>600075</wp:posOffset>
          </wp:positionH>
          <wp:positionV relativeFrom="paragraph">
            <wp:posOffset>2540</wp:posOffset>
          </wp:positionV>
          <wp:extent cx="1926590" cy="285115"/>
          <wp:effectExtent l="0" t="0" r="16510" b="635"/>
          <wp:wrapSquare wrapText="bothSides"/>
          <wp:docPr id="76" name="图片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081"/>
                  <pic:cNvPicPr>
                    <a:picLocks noChangeAspect="1"/>
                  </pic:cNvPicPr>
                </pic:nvPicPr>
                <pic:blipFill>
                  <a:blip r:embed="rId1"/>
                  <a:stretch>
                    <a:fillRect/>
                  </a:stretch>
                </pic:blipFill>
                <pic:spPr>
                  <a:xfrm>
                    <a:off x="0" y="0"/>
                    <a:ext cx="1926590" cy="285115"/>
                  </a:xfrm>
                  <a:prstGeom prst="rect">
                    <a:avLst/>
                  </a:prstGeom>
                  <a:noFill/>
                  <a:ln>
                    <a:noFill/>
                  </a:ln>
                </pic:spPr>
              </pic:pic>
            </a:graphicData>
          </a:graphic>
        </wp:anchor>
      </w:drawing>
    </w:r>
    <w:r>
      <w:rPr>
        <w:lang w:val="en-US" w:eastAsia="zh-CN"/>
      </w:rPr>
      <w:drawing>
        <wp:anchor distT="0" distB="0" distL="114300" distR="114300" simplePos="0" relativeHeight="251694080" behindDoc="1" locked="0" layoutInCell="1" allowOverlap="1">
          <wp:simplePos x="0" y="0"/>
          <wp:positionH relativeFrom="column">
            <wp:posOffset>284480</wp:posOffset>
          </wp:positionH>
          <wp:positionV relativeFrom="paragraph">
            <wp:posOffset>-52705</wp:posOffset>
          </wp:positionV>
          <wp:extent cx="314325" cy="353695"/>
          <wp:effectExtent l="0" t="0" r="9525" b="8255"/>
          <wp:wrapNone/>
          <wp:docPr id="75" name="图片 108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080" descr="IMG_256"/>
                  <pic:cNvPicPr>
                    <a:picLocks noChangeAspect="1"/>
                  </pic:cNvPicPr>
                </pic:nvPicPr>
                <pic:blipFill>
                  <a:blip r:embed="rId2"/>
                  <a:stretch>
                    <a:fillRect/>
                  </a:stretch>
                </pic:blipFill>
                <pic:spPr>
                  <a:xfrm>
                    <a:off x="0" y="0"/>
                    <a:ext cx="314325" cy="353695"/>
                  </a:xfrm>
                  <a:prstGeom prst="rect">
                    <a:avLst/>
                  </a:prstGeom>
                  <a:noFill/>
                  <a:ln>
                    <a:noFill/>
                  </a:ln>
                </pic:spPr>
              </pic:pic>
            </a:graphicData>
          </a:graphic>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5848B">
    <w:pPr>
      <w:pStyle w:val="30"/>
      <w:pBdr>
        <w:bottom w:val="none" w:color="auto" w:sz="0" w:space="1"/>
      </w:pBdr>
    </w:pPr>
    <w:r>
      <w:rPr>
        <w:lang w:val="en-US" w:eastAsia="zh-CN"/>
      </w:rPr>
      <w:drawing>
        <wp:anchor distT="0" distB="0" distL="114300" distR="114300" simplePos="0" relativeHeight="251697152" behindDoc="1" locked="0" layoutInCell="1" allowOverlap="1">
          <wp:simplePos x="0" y="0"/>
          <wp:positionH relativeFrom="column">
            <wp:posOffset>284480</wp:posOffset>
          </wp:positionH>
          <wp:positionV relativeFrom="paragraph">
            <wp:posOffset>-52705</wp:posOffset>
          </wp:positionV>
          <wp:extent cx="314325" cy="353695"/>
          <wp:effectExtent l="0" t="0" r="9525" b="8255"/>
          <wp:wrapNone/>
          <wp:docPr id="78" name="图片 108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083" descr="IMG_256"/>
                  <pic:cNvPicPr>
                    <a:picLocks noChangeAspect="1"/>
                  </pic:cNvPicPr>
                </pic:nvPicPr>
                <pic:blipFill>
                  <a:blip r:embed="rId1"/>
                  <a:stretch>
                    <a:fillRect/>
                  </a:stretch>
                </pic:blipFill>
                <pic:spPr>
                  <a:xfrm>
                    <a:off x="0" y="0"/>
                    <a:ext cx="314325" cy="353695"/>
                  </a:xfrm>
                  <a:prstGeom prst="rect">
                    <a:avLst/>
                  </a:prstGeom>
                  <a:noFill/>
                  <a:ln>
                    <a:noFill/>
                  </a:ln>
                </pic:spPr>
              </pic:pic>
            </a:graphicData>
          </a:graphic>
        </wp:anchor>
      </w:drawing>
    </w:r>
    <w:r>
      <w:drawing>
        <wp:anchor distT="0" distB="0" distL="114300" distR="114300" simplePos="0" relativeHeight="251696128" behindDoc="0" locked="0" layoutInCell="1" allowOverlap="1">
          <wp:simplePos x="0" y="0"/>
          <wp:positionH relativeFrom="column">
            <wp:posOffset>600075</wp:posOffset>
          </wp:positionH>
          <wp:positionV relativeFrom="paragraph">
            <wp:posOffset>2540</wp:posOffset>
          </wp:positionV>
          <wp:extent cx="1926590" cy="285115"/>
          <wp:effectExtent l="0" t="0" r="16510" b="635"/>
          <wp:wrapSquare wrapText="bothSides"/>
          <wp:docPr id="77" name="图片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082"/>
                  <pic:cNvPicPr>
                    <a:picLocks noChangeAspect="1"/>
                  </pic:cNvPicPr>
                </pic:nvPicPr>
                <pic:blipFill>
                  <a:blip r:embed="rId2"/>
                  <a:stretch>
                    <a:fillRect/>
                  </a:stretch>
                </pic:blipFill>
                <pic:spPr>
                  <a:xfrm>
                    <a:off x="0" y="0"/>
                    <a:ext cx="1926590" cy="285115"/>
                  </a:xfrm>
                  <a:prstGeom prst="rect">
                    <a:avLst/>
                  </a:prstGeom>
                  <a:noFill/>
                  <a:ln>
                    <a:noFill/>
                  </a:ln>
                </pic:spPr>
              </pic:pic>
            </a:graphicData>
          </a:graphic>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13ECF">
    <w:pPr>
      <w:pStyle w:val="30"/>
      <w:pBdr>
        <w:bottom w:val="none" w:color="auto" w:sz="0" w:space="1"/>
      </w:pBdr>
    </w:pPr>
    <w:r>
      <w:rPr>
        <w:lang w:val="en-US" w:eastAsia="zh-CN"/>
      </w:rPr>
      <w:drawing>
        <wp:anchor distT="0" distB="0" distL="114300" distR="114300" simplePos="0" relativeHeight="251699200" behindDoc="1" locked="0" layoutInCell="1" allowOverlap="1">
          <wp:simplePos x="0" y="0"/>
          <wp:positionH relativeFrom="column">
            <wp:posOffset>284480</wp:posOffset>
          </wp:positionH>
          <wp:positionV relativeFrom="paragraph">
            <wp:posOffset>-52705</wp:posOffset>
          </wp:positionV>
          <wp:extent cx="314325" cy="353695"/>
          <wp:effectExtent l="0" t="0" r="9525" b="8255"/>
          <wp:wrapNone/>
          <wp:docPr id="84" name="图片 108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089" descr="IMG_256"/>
                  <pic:cNvPicPr>
                    <a:picLocks noChangeAspect="1"/>
                  </pic:cNvPicPr>
                </pic:nvPicPr>
                <pic:blipFill>
                  <a:blip r:embed="rId1"/>
                  <a:stretch>
                    <a:fillRect/>
                  </a:stretch>
                </pic:blipFill>
                <pic:spPr>
                  <a:xfrm>
                    <a:off x="0" y="0"/>
                    <a:ext cx="314325" cy="353695"/>
                  </a:xfrm>
                  <a:prstGeom prst="rect">
                    <a:avLst/>
                  </a:prstGeom>
                  <a:noFill/>
                  <a:ln>
                    <a:noFill/>
                  </a:ln>
                </pic:spPr>
              </pic:pic>
            </a:graphicData>
          </a:graphic>
        </wp:anchor>
      </w:drawing>
    </w:r>
    <w:r>
      <w:drawing>
        <wp:anchor distT="0" distB="0" distL="114300" distR="114300" simplePos="0" relativeHeight="251698176" behindDoc="0" locked="0" layoutInCell="1" allowOverlap="1">
          <wp:simplePos x="0" y="0"/>
          <wp:positionH relativeFrom="column">
            <wp:posOffset>600075</wp:posOffset>
          </wp:positionH>
          <wp:positionV relativeFrom="paragraph">
            <wp:posOffset>2540</wp:posOffset>
          </wp:positionV>
          <wp:extent cx="1926590" cy="285115"/>
          <wp:effectExtent l="0" t="0" r="16510" b="635"/>
          <wp:wrapSquare wrapText="bothSides"/>
          <wp:docPr id="83" name="图片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088"/>
                  <pic:cNvPicPr>
                    <a:picLocks noChangeAspect="1"/>
                  </pic:cNvPicPr>
                </pic:nvPicPr>
                <pic:blipFill>
                  <a:blip r:embed="rId2"/>
                  <a:stretch>
                    <a:fillRect/>
                  </a:stretch>
                </pic:blipFill>
                <pic:spPr>
                  <a:xfrm>
                    <a:off x="0" y="0"/>
                    <a:ext cx="1926590" cy="285115"/>
                  </a:xfrm>
                  <a:prstGeom prst="rect">
                    <a:avLst/>
                  </a:prstGeom>
                  <a:noFill/>
                  <a:ln>
                    <a:noFill/>
                  </a:ln>
                </pic:spPr>
              </pic:pic>
            </a:graphicData>
          </a:graphic>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AE8684">
    <w:pPr>
      <w:pStyle w:val="30"/>
      <w:pBdr>
        <w:bottom w:val="none" w:color="auto" w:sz="0" w:space="1"/>
      </w:pBdr>
    </w:pPr>
    <w:r>
      <w:drawing>
        <wp:anchor distT="0" distB="0" distL="114300" distR="114300" simplePos="0" relativeHeight="251701248" behindDoc="0" locked="0" layoutInCell="1" allowOverlap="1">
          <wp:simplePos x="0" y="0"/>
          <wp:positionH relativeFrom="column">
            <wp:posOffset>600075</wp:posOffset>
          </wp:positionH>
          <wp:positionV relativeFrom="paragraph">
            <wp:posOffset>2540</wp:posOffset>
          </wp:positionV>
          <wp:extent cx="1926590" cy="285115"/>
          <wp:effectExtent l="0" t="0" r="16510" b="635"/>
          <wp:wrapSquare wrapText="bothSides"/>
          <wp:docPr id="86" name="图片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1091"/>
                  <pic:cNvPicPr>
                    <a:picLocks noChangeAspect="1"/>
                  </pic:cNvPicPr>
                </pic:nvPicPr>
                <pic:blipFill>
                  <a:blip r:embed="rId1"/>
                  <a:stretch>
                    <a:fillRect/>
                  </a:stretch>
                </pic:blipFill>
                <pic:spPr>
                  <a:xfrm>
                    <a:off x="0" y="0"/>
                    <a:ext cx="1926590" cy="285115"/>
                  </a:xfrm>
                  <a:prstGeom prst="rect">
                    <a:avLst/>
                  </a:prstGeom>
                  <a:noFill/>
                  <a:ln>
                    <a:noFill/>
                  </a:ln>
                </pic:spPr>
              </pic:pic>
            </a:graphicData>
          </a:graphic>
        </wp:anchor>
      </w:drawing>
    </w:r>
    <w:r>
      <w:rPr>
        <w:lang w:val="en-US" w:eastAsia="zh-CN"/>
      </w:rPr>
      <w:drawing>
        <wp:anchor distT="0" distB="0" distL="114300" distR="114300" simplePos="0" relativeHeight="251700224" behindDoc="1" locked="0" layoutInCell="1" allowOverlap="1">
          <wp:simplePos x="0" y="0"/>
          <wp:positionH relativeFrom="column">
            <wp:posOffset>284480</wp:posOffset>
          </wp:positionH>
          <wp:positionV relativeFrom="paragraph">
            <wp:posOffset>-52705</wp:posOffset>
          </wp:positionV>
          <wp:extent cx="314325" cy="353695"/>
          <wp:effectExtent l="0" t="0" r="9525" b="8255"/>
          <wp:wrapNone/>
          <wp:docPr id="85" name="图片 109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090" descr="IMG_256"/>
                  <pic:cNvPicPr>
                    <a:picLocks noChangeAspect="1"/>
                  </pic:cNvPicPr>
                </pic:nvPicPr>
                <pic:blipFill>
                  <a:blip r:embed="rId2"/>
                  <a:stretch>
                    <a:fillRect/>
                  </a:stretch>
                </pic:blipFill>
                <pic:spPr>
                  <a:xfrm>
                    <a:off x="0" y="0"/>
                    <a:ext cx="314325" cy="353695"/>
                  </a:xfrm>
                  <a:prstGeom prst="rect">
                    <a:avLst/>
                  </a:prstGeom>
                  <a:noFill/>
                  <a:ln>
                    <a:noFill/>
                  </a:ln>
                </pic:spPr>
              </pic:pic>
            </a:graphicData>
          </a:graphic>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EDFEBC">
    <w:pPr>
      <w:pStyle w:val="30"/>
      <w:pBdr>
        <w:bottom w:val="none" w:color="auto" w:sz="0" w:space="1"/>
      </w:pBdr>
    </w:pPr>
    <w:r>
      <w:rPr>
        <w:lang w:val="en-US" w:eastAsia="zh-CN"/>
      </w:rPr>
      <w:drawing>
        <wp:anchor distT="0" distB="0" distL="114300" distR="114300" simplePos="0" relativeHeight="251703296" behindDoc="1" locked="0" layoutInCell="1" allowOverlap="1">
          <wp:simplePos x="0" y="0"/>
          <wp:positionH relativeFrom="column">
            <wp:posOffset>284480</wp:posOffset>
          </wp:positionH>
          <wp:positionV relativeFrom="paragraph">
            <wp:posOffset>-52705</wp:posOffset>
          </wp:positionV>
          <wp:extent cx="314325" cy="353695"/>
          <wp:effectExtent l="0" t="0" r="9525" b="8255"/>
          <wp:wrapNone/>
          <wp:docPr id="88" name="图片 109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093" descr="IMG_256"/>
                  <pic:cNvPicPr>
                    <a:picLocks noChangeAspect="1"/>
                  </pic:cNvPicPr>
                </pic:nvPicPr>
                <pic:blipFill>
                  <a:blip r:embed="rId1"/>
                  <a:stretch>
                    <a:fillRect/>
                  </a:stretch>
                </pic:blipFill>
                <pic:spPr>
                  <a:xfrm>
                    <a:off x="0" y="0"/>
                    <a:ext cx="314325" cy="353695"/>
                  </a:xfrm>
                  <a:prstGeom prst="rect">
                    <a:avLst/>
                  </a:prstGeom>
                  <a:noFill/>
                  <a:ln>
                    <a:noFill/>
                  </a:ln>
                </pic:spPr>
              </pic:pic>
            </a:graphicData>
          </a:graphic>
        </wp:anchor>
      </w:drawing>
    </w:r>
    <w:r>
      <w:drawing>
        <wp:anchor distT="0" distB="0" distL="114300" distR="114300" simplePos="0" relativeHeight="251702272" behindDoc="0" locked="0" layoutInCell="1" allowOverlap="1">
          <wp:simplePos x="0" y="0"/>
          <wp:positionH relativeFrom="column">
            <wp:posOffset>600075</wp:posOffset>
          </wp:positionH>
          <wp:positionV relativeFrom="paragraph">
            <wp:posOffset>2540</wp:posOffset>
          </wp:positionV>
          <wp:extent cx="1926590" cy="285115"/>
          <wp:effectExtent l="0" t="0" r="16510" b="635"/>
          <wp:wrapSquare wrapText="bothSides"/>
          <wp:docPr id="87" name="图片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092"/>
                  <pic:cNvPicPr>
                    <a:picLocks noChangeAspect="1"/>
                  </pic:cNvPicPr>
                </pic:nvPicPr>
                <pic:blipFill>
                  <a:blip r:embed="rId2"/>
                  <a:stretch>
                    <a:fillRect/>
                  </a:stretch>
                </pic:blipFill>
                <pic:spPr>
                  <a:xfrm>
                    <a:off x="0" y="0"/>
                    <a:ext cx="1926590" cy="285115"/>
                  </a:xfrm>
                  <a:prstGeom prst="rect">
                    <a:avLst/>
                  </a:prstGeom>
                  <a:noFill/>
                  <a:ln>
                    <a:noFill/>
                  </a:ln>
                </pic:spPr>
              </pic:pic>
            </a:graphicData>
          </a:graphic>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5053E">
    <w:pPr>
      <w:pStyle w:val="30"/>
      <w:pBdr>
        <w:bottom w:val="none" w:color="auto" w:sz="0" w:space="1"/>
      </w:pBdr>
    </w:pPr>
    <w:r>
      <w:drawing>
        <wp:anchor distT="0" distB="0" distL="114300" distR="114300" simplePos="0" relativeHeight="251705344" behindDoc="0" locked="0" layoutInCell="1" allowOverlap="1">
          <wp:simplePos x="0" y="0"/>
          <wp:positionH relativeFrom="column">
            <wp:posOffset>600075</wp:posOffset>
          </wp:positionH>
          <wp:positionV relativeFrom="paragraph">
            <wp:posOffset>2540</wp:posOffset>
          </wp:positionV>
          <wp:extent cx="1926590" cy="285115"/>
          <wp:effectExtent l="0" t="0" r="16510" b="635"/>
          <wp:wrapSquare wrapText="bothSides"/>
          <wp:docPr id="90" name="图片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1095"/>
                  <pic:cNvPicPr>
                    <a:picLocks noChangeAspect="1"/>
                  </pic:cNvPicPr>
                </pic:nvPicPr>
                <pic:blipFill>
                  <a:blip r:embed="rId1"/>
                  <a:stretch>
                    <a:fillRect/>
                  </a:stretch>
                </pic:blipFill>
                <pic:spPr>
                  <a:xfrm>
                    <a:off x="0" y="0"/>
                    <a:ext cx="1926590" cy="285115"/>
                  </a:xfrm>
                  <a:prstGeom prst="rect">
                    <a:avLst/>
                  </a:prstGeom>
                  <a:noFill/>
                  <a:ln>
                    <a:noFill/>
                  </a:ln>
                </pic:spPr>
              </pic:pic>
            </a:graphicData>
          </a:graphic>
        </wp:anchor>
      </w:drawing>
    </w:r>
    <w:r>
      <w:rPr>
        <w:lang w:val="en-US" w:eastAsia="zh-CN"/>
      </w:rPr>
      <w:drawing>
        <wp:anchor distT="0" distB="0" distL="114300" distR="114300" simplePos="0" relativeHeight="251704320" behindDoc="1" locked="0" layoutInCell="1" allowOverlap="1">
          <wp:simplePos x="0" y="0"/>
          <wp:positionH relativeFrom="column">
            <wp:posOffset>284480</wp:posOffset>
          </wp:positionH>
          <wp:positionV relativeFrom="paragraph">
            <wp:posOffset>-52705</wp:posOffset>
          </wp:positionV>
          <wp:extent cx="314325" cy="353695"/>
          <wp:effectExtent l="0" t="0" r="9525" b="8255"/>
          <wp:wrapNone/>
          <wp:docPr id="89" name="图片 109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094" descr="IMG_256"/>
                  <pic:cNvPicPr>
                    <a:picLocks noChangeAspect="1"/>
                  </pic:cNvPicPr>
                </pic:nvPicPr>
                <pic:blipFill>
                  <a:blip r:embed="rId2"/>
                  <a:stretch>
                    <a:fillRect/>
                  </a:stretch>
                </pic:blipFill>
                <pic:spPr>
                  <a:xfrm>
                    <a:off x="0" y="0"/>
                    <a:ext cx="314325" cy="353695"/>
                  </a:xfrm>
                  <a:prstGeom prst="rect">
                    <a:avLst/>
                  </a:prstGeom>
                  <a:noFill/>
                  <a:ln>
                    <a:noFill/>
                  </a:ln>
                </pic:spPr>
              </pic:pic>
            </a:graphicData>
          </a:graphic>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E3601B">
    <w:pPr>
      <w:pStyle w:val="30"/>
      <w:pBdr>
        <w:bottom w:val="none" w:color="auto" w:sz="0" w:space="1"/>
      </w:pBdr>
    </w:pPr>
    <w:r>
      <w:rPr>
        <w:lang w:val="en-US" w:eastAsia="zh-CN"/>
      </w:rPr>
      <w:drawing>
        <wp:anchor distT="0" distB="0" distL="114300" distR="114300" simplePos="0" relativeHeight="251707392" behindDoc="1" locked="0" layoutInCell="1" allowOverlap="1">
          <wp:simplePos x="0" y="0"/>
          <wp:positionH relativeFrom="column">
            <wp:posOffset>284480</wp:posOffset>
          </wp:positionH>
          <wp:positionV relativeFrom="paragraph">
            <wp:posOffset>-52705</wp:posOffset>
          </wp:positionV>
          <wp:extent cx="314325" cy="353695"/>
          <wp:effectExtent l="0" t="0" r="9525" b="8255"/>
          <wp:wrapNone/>
          <wp:docPr id="92" name="图片 109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1097" descr="IMG_256"/>
                  <pic:cNvPicPr>
                    <a:picLocks noChangeAspect="1"/>
                  </pic:cNvPicPr>
                </pic:nvPicPr>
                <pic:blipFill>
                  <a:blip r:embed="rId1"/>
                  <a:stretch>
                    <a:fillRect/>
                  </a:stretch>
                </pic:blipFill>
                <pic:spPr>
                  <a:xfrm>
                    <a:off x="0" y="0"/>
                    <a:ext cx="314325" cy="353695"/>
                  </a:xfrm>
                  <a:prstGeom prst="rect">
                    <a:avLst/>
                  </a:prstGeom>
                  <a:noFill/>
                  <a:ln>
                    <a:noFill/>
                  </a:ln>
                </pic:spPr>
              </pic:pic>
            </a:graphicData>
          </a:graphic>
        </wp:anchor>
      </w:drawing>
    </w:r>
    <w:r>
      <w:drawing>
        <wp:anchor distT="0" distB="0" distL="114300" distR="114300" simplePos="0" relativeHeight="251706368" behindDoc="0" locked="0" layoutInCell="1" allowOverlap="1">
          <wp:simplePos x="0" y="0"/>
          <wp:positionH relativeFrom="column">
            <wp:posOffset>600075</wp:posOffset>
          </wp:positionH>
          <wp:positionV relativeFrom="paragraph">
            <wp:posOffset>2540</wp:posOffset>
          </wp:positionV>
          <wp:extent cx="1926590" cy="285115"/>
          <wp:effectExtent l="0" t="0" r="16510" b="635"/>
          <wp:wrapSquare wrapText="bothSides"/>
          <wp:docPr id="91" name="图片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096"/>
                  <pic:cNvPicPr>
                    <a:picLocks noChangeAspect="1"/>
                  </pic:cNvPicPr>
                </pic:nvPicPr>
                <pic:blipFill>
                  <a:blip r:embed="rId2"/>
                  <a:stretch>
                    <a:fillRect/>
                  </a:stretch>
                </pic:blipFill>
                <pic:spPr>
                  <a:xfrm>
                    <a:off x="0" y="0"/>
                    <a:ext cx="1926590" cy="285115"/>
                  </a:xfrm>
                  <a:prstGeom prst="rect">
                    <a:avLst/>
                  </a:prstGeom>
                  <a:noFill/>
                  <a:ln>
                    <a:noFill/>
                  </a:ln>
                </pic:spPr>
              </pic:pic>
            </a:graphicData>
          </a:graphic>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244D4">
    <w:pPr>
      <w:pStyle w:val="30"/>
      <w:pBdr>
        <w:bottom w:val="none" w:color="auto" w:sz="0" w:space="1"/>
      </w:pBdr>
    </w:pPr>
    <w:r>
      <w:drawing>
        <wp:anchor distT="0" distB="0" distL="114300" distR="114300" simplePos="0" relativeHeight="251709440" behindDoc="0" locked="0" layoutInCell="1" allowOverlap="1">
          <wp:simplePos x="0" y="0"/>
          <wp:positionH relativeFrom="column">
            <wp:posOffset>600075</wp:posOffset>
          </wp:positionH>
          <wp:positionV relativeFrom="paragraph">
            <wp:posOffset>2540</wp:posOffset>
          </wp:positionV>
          <wp:extent cx="1926590" cy="285115"/>
          <wp:effectExtent l="0" t="0" r="16510" b="635"/>
          <wp:wrapSquare wrapText="bothSides"/>
          <wp:docPr id="94" name="图片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099"/>
                  <pic:cNvPicPr>
                    <a:picLocks noChangeAspect="1"/>
                  </pic:cNvPicPr>
                </pic:nvPicPr>
                <pic:blipFill>
                  <a:blip r:embed="rId1"/>
                  <a:stretch>
                    <a:fillRect/>
                  </a:stretch>
                </pic:blipFill>
                <pic:spPr>
                  <a:xfrm>
                    <a:off x="0" y="0"/>
                    <a:ext cx="1926590" cy="285115"/>
                  </a:xfrm>
                  <a:prstGeom prst="rect">
                    <a:avLst/>
                  </a:prstGeom>
                  <a:noFill/>
                  <a:ln>
                    <a:noFill/>
                  </a:ln>
                </pic:spPr>
              </pic:pic>
            </a:graphicData>
          </a:graphic>
        </wp:anchor>
      </w:drawing>
    </w:r>
    <w:r>
      <w:rPr>
        <w:lang w:val="en-US" w:eastAsia="zh-CN"/>
      </w:rPr>
      <w:drawing>
        <wp:anchor distT="0" distB="0" distL="114300" distR="114300" simplePos="0" relativeHeight="251708416" behindDoc="1" locked="0" layoutInCell="1" allowOverlap="1">
          <wp:simplePos x="0" y="0"/>
          <wp:positionH relativeFrom="column">
            <wp:posOffset>284480</wp:posOffset>
          </wp:positionH>
          <wp:positionV relativeFrom="paragraph">
            <wp:posOffset>-52705</wp:posOffset>
          </wp:positionV>
          <wp:extent cx="314325" cy="353695"/>
          <wp:effectExtent l="0" t="0" r="9525" b="8255"/>
          <wp:wrapNone/>
          <wp:docPr id="93" name="图片 109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098" descr="IMG_256"/>
                  <pic:cNvPicPr>
                    <a:picLocks noChangeAspect="1"/>
                  </pic:cNvPicPr>
                </pic:nvPicPr>
                <pic:blipFill>
                  <a:blip r:embed="rId2"/>
                  <a:stretch>
                    <a:fillRect/>
                  </a:stretch>
                </pic:blipFill>
                <pic:spPr>
                  <a:xfrm>
                    <a:off x="0" y="0"/>
                    <a:ext cx="314325" cy="3536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8A2D6">
    <w:pPr>
      <w:pStyle w:val="30"/>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937250" cy="5798820"/>
          <wp:effectExtent l="0" t="0" r="6350" b="11430"/>
          <wp:wrapNone/>
          <wp:docPr id="38" name="WordPictureWatermark108073829"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ordPictureWatermark108073829" descr="水印"/>
                  <pic:cNvPicPr>
                    <a:picLocks noChangeAspect="1"/>
                  </pic:cNvPicPr>
                </pic:nvPicPr>
                <pic:blipFill>
                  <a:blip r:embed="rId1">
                    <a:lum bright="70001" contrast="-70000"/>
                  </a:blip>
                  <a:stretch>
                    <a:fillRect/>
                  </a:stretch>
                </pic:blipFill>
                <pic:spPr>
                  <a:xfrm>
                    <a:off x="0" y="0"/>
                    <a:ext cx="5937250" cy="5798820"/>
                  </a:xfrm>
                  <a:prstGeom prst="rect">
                    <a:avLst/>
                  </a:prstGeom>
                  <a:noFill/>
                  <a:ln>
                    <a:noFill/>
                  </a:ln>
                </pic:spPr>
              </pic:pic>
            </a:graphicData>
          </a:graphic>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C065DF">
    <w:pPr>
      <w:pStyle w:val="30"/>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937250" cy="5798820"/>
          <wp:effectExtent l="0" t="0" r="6350" b="11430"/>
          <wp:wrapNone/>
          <wp:docPr id="36" name="WordPictureWatermark108073844"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WordPictureWatermark108073844" descr="水印"/>
                  <pic:cNvPicPr>
                    <a:picLocks noChangeAspect="1"/>
                  </pic:cNvPicPr>
                </pic:nvPicPr>
                <pic:blipFill>
                  <a:blip r:embed="rId1">
                    <a:lum bright="70001" contrast="-70000"/>
                  </a:blip>
                  <a:stretch>
                    <a:fillRect/>
                  </a:stretch>
                </pic:blipFill>
                <pic:spPr>
                  <a:xfrm>
                    <a:off x="0" y="0"/>
                    <a:ext cx="5937250" cy="5798820"/>
                  </a:xfrm>
                  <a:prstGeom prst="rect">
                    <a:avLst/>
                  </a:prstGeom>
                  <a:noFill/>
                  <a:ln>
                    <a:noFill/>
                  </a:ln>
                </pic:spPr>
              </pic:pic>
            </a:graphicData>
          </a:graphic>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F25CE">
    <w:pPr>
      <w:pStyle w:val="30"/>
      <w:pBdr>
        <w:bottom w:val="none" w:color="auto" w:sz="0" w:space="1"/>
      </w:pBdr>
    </w:pPr>
    <w:r>
      <w:rPr>
        <w:lang w:val="en-US" w:eastAsia="zh-CN"/>
      </w:rPr>
      <w:drawing>
        <wp:anchor distT="0" distB="0" distL="114300" distR="114300" simplePos="0" relativeHeight="251711488" behindDoc="1" locked="0" layoutInCell="1" allowOverlap="1">
          <wp:simplePos x="0" y="0"/>
          <wp:positionH relativeFrom="column">
            <wp:posOffset>284480</wp:posOffset>
          </wp:positionH>
          <wp:positionV relativeFrom="paragraph">
            <wp:posOffset>-52705</wp:posOffset>
          </wp:positionV>
          <wp:extent cx="314325" cy="353695"/>
          <wp:effectExtent l="0" t="0" r="9525" b="8255"/>
          <wp:wrapNone/>
          <wp:docPr id="96" name="图片 110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101" descr="IMG_256"/>
                  <pic:cNvPicPr>
                    <a:picLocks noChangeAspect="1"/>
                  </pic:cNvPicPr>
                </pic:nvPicPr>
                <pic:blipFill>
                  <a:blip r:embed="rId1"/>
                  <a:stretch>
                    <a:fillRect/>
                  </a:stretch>
                </pic:blipFill>
                <pic:spPr>
                  <a:xfrm>
                    <a:off x="0" y="0"/>
                    <a:ext cx="314325" cy="353695"/>
                  </a:xfrm>
                  <a:prstGeom prst="rect">
                    <a:avLst/>
                  </a:prstGeom>
                  <a:noFill/>
                  <a:ln>
                    <a:noFill/>
                  </a:ln>
                </pic:spPr>
              </pic:pic>
            </a:graphicData>
          </a:graphic>
        </wp:anchor>
      </w:drawing>
    </w:r>
    <w:r>
      <w:drawing>
        <wp:anchor distT="0" distB="0" distL="114300" distR="114300" simplePos="0" relativeHeight="251710464" behindDoc="0" locked="0" layoutInCell="1" allowOverlap="1">
          <wp:simplePos x="0" y="0"/>
          <wp:positionH relativeFrom="column">
            <wp:posOffset>600075</wp:posOffset>
          </wp:positionH>
          <wp:positionV relativeFrom="paragraph">
            <wp:posOffset>2540</wp:posOffset>
          </wp:positionV>
          <wp:extent cx="1926590" cy="285115"/>
          <wp:effectExtent l="0" t="0" r="16510" b="635"/>
          <wp:wrapSquare wrapText="bothSides"/>
          <wp:docPr id="95" name="图片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1100"/>
                  <pic:cNvPicPr>
                    <a:picLocks noChangeAspect="1"/>
                  </pic:cNvPicPr>
                </pic:nvPicPr>
                <pic:blipFill>
                  <a:blip r:embed="rId2"/>
                  <a:stretch>
                    <a:fillRect/>
                  </a:stretch>
                </pic:blipFill>
                <pic:spPr>
                  <a:xfrm>
                    <a:off x="0" y="0"/>
                    <a:ext cx="1926590" cy="285115"/>
                  </a:xfrm>
                  <a:prstGeom prst="rect">
                    <a:avLst/>
                  </a:prstGeom>
                  <a:noFill/>
                  <a:ln>
                    <a:noFill/>
                  </a:ln>
                </pic:spPr>
              </pic:pic>
            </a:graphicData>
          </a:graphic>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C45C7">
    <w:pPr>
      <w:pStyle w:val="30"/>
      <w:pBdr>
        <w:bottom w:val="none" w:color="auto" w:sz="0" w:space="1"/>
      </w:pBdr>
    </w:pPr>
    <w:r>
      <w:drawing>
        <wp:anchor distT="0" distB="0" distL="114300" distR="114300" simplePos="0" relativeHeight="251713536" behindDoc="0" locked="0" layoutInCell="1" allowOverlap="1">
          <wp:simplePos x="0" y="0"/>
          <wp:positionH relativeFrom="column">
            <wp:posOffset>600075</wp:posOffset>
          </wp:positionH>
          <wp:positionV relativeFrom="paragraph">
            <wp:posOffset>2540</wp:posOffset>
          </wp:positionV>
          <wp:extent cx="1926590" cy="285115"/>
          <wp:effectExtent l="0" t="0" r="16510" b="635"/>
          <wp:wrapSquare wrapText="bothSides"/>
          <wp:docPr id="98" name="图片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103"/>
                  <pic:cNvPicPr>
                    <a:picLocks noChangeAspect="1"/>
                  </pic:cNvPicPr>
                </pic:nvPicPr>
                <pic:blipFill>
                  <a:blip r:embed="rId1"/>
                  <a:stretch>
                    <a:fillRect/>
                  </a:stretch>
                </pic:blipFill>
                <pic:spPr>
                  <a:xfrm>
                    <a:off x="0" y="0"/>
                    <a:ext cx="1926590" cy="285115"/>
                  </a:xfrm>
                  <a:prstGeom prst="rect">
                    <a:avLst/>
                  </a:prstGeom>
                  <a:noFill/>
                  <a:ln>
                    <a:noFill/>
                  </a:ln>
                </pic:spPr>
              </pic:pic>
            </a:graphicData>
          </a:graphic>
        </wp:anchor>
      </w:drawing>
    </w:r>
    <w:r>
      <w:rPr>
        <w:lang w:val="en-US" w:eastAsia="zh-CN"/>
      </w:rPr>
      <w:drawing>
        <wp:anchor distT="0" distB="0" distL="114300" distR="114300" simplePos="0" relativeHeight="251712512" behindDoc="1" locked="0" layoutInCell="1" allowOverlap="1">
          <wp:simplePos x="0" y="0"/>
          <wp:positionH relativeFrom="column">
            <wp:posOffset>284480</wp:posOffset>
          </wp:positionH>
          <wp:positionV relativeFrom="paragraph">
            <wp:posOffset>-52705</wp:posOffset>
          </wp:positionV>
          <wp:extent cx="314325" cy="353695"/>
          <wp:effectExtent l="0" t="0" r="9525" b="8255"/>
          <wp:wrapNone/>
          <wp:docPr id="97" name="图片 110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102" descr="IMG_256"/>
                  <pic:cNvPicPr>
                    <a:picLocks noChangeAspect="1"/>
                  </pic:cNvPicPr>
                </pic:nvPicPr>
                <pic:blipFill>
                  <a:blip r:embed="rId2"/>
                  <a:stretch>
                    <a:fillRect/>
                  </a:stretch>
                </pic:blipFill>
                <pic:spPr>
                  <a:xfrm>
                    <a:off x="0" y="0"/>
                    <a:ext cx="314325" cy="353695"/>
                  </a:xfrm>
                  <a:prstGeom prst="rect">
                    <a:avLst/>
                  </a:prstGeom>
                  <a:noFill/>
                  <a:ln>
                    <a:noFill/>
                  </a:ln>
                </pic:spPr>
              </pic:pic>
            </a:graphicData>
          </a:graphic>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7D744">
    <w:pPr>
      <w:pStyle w:val="30"/>
      <w:pBdr>
        <w:bottom w:val="none" w:color="auto" w:sz="0" w:space="1"/>
      </w:pBdr>
    </w:pPr>
    <w:r>
      <w:rPr>
        <w:lang w:val="en-US" w:eastAsia="zh-CN"/>
      </w:rPr>
      <w:drawing>
        <wp:anchor distT="0" distB="0" distL="114300" distR="114300" simplePos="0" relativeHeight="251715584" behindDoc="1" locked="0" layoutInCell="1" allowOverlap="1">
          <wp:simplePos x="0" y="0"/>
          <wp:positionH relativeFrom="column">
            <wp:posOffset>284480</wp:posOffset>
          </wp:positionH>
          <wp:positionV relativeFrom="paragraph">
            <wp:posOffset>-52705</wp:posOffset>
          </wp:positionV>
          <wp:extent cx="314325" cy="353695"/>
          <wp:effectExtent l="0" t="0" r="9525" b="8255"/>
          <wp:wrapNone/>
          <wp:docPr id="100" name="图片 110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105" descr="IMG_256"/>
                  <pic:cNvPicPr>
                    <a:picLocks noChangeAspect="1"/>
                  </pic:cNvPicPr>
                </pic:nvPicPr>
                <pic:blipFill>
                  <a:blip r:embed="rId1"/>
                  <a:stretch>
                    <a:fillRect/>
                  </a:stretch>
                </pic:blipFill>
                <pic:spPr>
                  <a:xfrm>
                    <a:off x="0" y="0"/>
                    <a:ext cx="314325" cy="353695"/>
                  </a:xfrm>
                  <a:prstGeom prst="rect">
                    <a:avLst/>
                  </a:prstGeom>
                  <a:noFill/>
                  <a:ln>
                    <a:noFill/>
                  </a:ln>
                </pic:spPr>
              </pic:pic>
            </a:graphicData>
          </a:graphic>
        </wp:anchor>
      </w:drawing>
    </w:r>
    <w:r>
      <w:drawing>
        <wp:anchor distT="0" distB="0" distL="114300" distR="114300" simplePos="0" relativeHeight="251714560" behindDoc="0" locked="0" layoutInCell="1" allowOverlap="1">
          <wp:simplePos x="0" y="0"/>
          <wp:positionH relativeFrom="column">
            <wp:posOffset>600075</wp:posOffset>
          </wp:positionH>
          <wp:positionV relativeFrom="paragraph">
            <wp:posOffset>2540</wp:posOffset>
          </wp:positionV>
          <wp:extent cx="1926590" cy="285115"/>
          <wp:effectExtent l="0" t="0" r="16510" b="635"/>
          <wp:wrapSquare wrapText="bothSides"/>
          <wp:docPr id="99" name="图片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104"/>
                  <pic:cNvPicPr>
                    <a:picLocks noChangeAspect="1"/>
                  </pic:cNvPicPr>
                </pic:nvPicPr>
                <pic:blipFill>
                  <a:blip r:embed="rId2"/>
                  <a:stretch>
                    <a:fillRect/>
                  </a:stretch>
                </pic:blipFill>
                <pic:spPr>
                  <a:xfrm>
                    <a:off x="0" y="0"/>
                    <a:ext cx="1926590" cy="285115"/>
                  </a:xfrm>
                  <a:prstGeom prst="rect">
                    <a:avLst/>
                  </a:prstGeom>
                  <a:noFill/>
                  <a:ln>
                    <a:noFill/>
                  </a:ln>
                </pic:spPr>
              </pic:pic>
            </a:graphicData>
          </a:graphic>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3BBCE">
    <w:pPr>
      <w:pStyle w:val="30"/>
      <w:pBdr>
        <w:bottom w:val="none" w:color="auto" w:sz="0" w:space="1"/>
      </w:pBdr>
    </w:pPr>
    <w:r>
      <w:drawing>
        <wp:anchor distT="0" distB="0" distL="114300" distR="114300" simplePos="0" relativeHeight="251717632" behindDoc="0" locked="0" layoutInCell="1" allowOverlap="1">
          <wp:simplePos x="0" y="0"/>
          <wp:positionH relativeFrom="column">
            <wp:posOffset>600075</wp:posOffset>
          </wp:positionH>
          <wp:positionV relativeFrom="paragraph">
            <wp:posOffset>2540</wp:posOffset>
          </wp:positionV>
          <wp:extent cx="1926590" cy="285115"/>
          <wp:effectExtent l="0" t="0" r="16510" b="635"/>
          <wp:wrapSquare wrapText="bothSides"/>
          <wp:docPr id="102" name="图片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107"/>
                  <pic:cNvPicPr>
                    <a:picLocks noChangeAspect="1"/>
                  </pic:cNvPicPr>
                </pic:nvPicPr>
                <pic:blipFill>
                  <a:blip r:embed="rId1"/>
                  <a:stretch>
                    <a:fillRect/>
                  </a:stretch>
                </pic:blipFill>
                <pic:spPr>
                  <a:xfrm>
                    <a:off x="0" y="0"/>
                    <a:ext cx="1926590" cy="285115"/>
                  </a:xfrm>
                  <a:prstGeom prst="rect">
                    <a:avLst/>
                  </a:prstGeom>
                  <a:noFill/>
                  <a:ln>
                    <a:noFill/>
                  </a:ln>
                </pic:spPr>
              </pic:pic>
            </a:graphicData>
          </a:graphic>
        </wp:anchor>
      </w:drawing>
    </w:r>
    <w:r>
      <w:rPr>
        <w:lang w:val="en-US" w:eastAsia="zh-CN"/>
      </w:rPr>
      <w:drawing>
        <wp:anchor distT="0" distB="0" distL="114300" distR="114300" simplePos="0" relativeHeight="251716608" behindDoc="1" locked="0" layoutInCell="1" allowOverlap="1">
          <wp:simplePos x="0" y="0"/>
          <wp:positionH relativeFrom="column">
            <wp:posOffset>284480</wp:posOffset>
          </wp:positionH>
          <wp:positionV relativeFrom="paragraph">
            <wp:posOffset>-52705</wp:posOffset>
          </wp:positionV>
          <wp:extent cx="314325" cy="353695"/>
          <wp:effectExtent l="0" t="0" r="9525" b="8255"/>
          <wp:wrapNone/>
          <wp:docPr id="101" name="图片 110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106" descr="IMG_256"/>
                  <pic:cNvPicPr>
                    <a:picLocks noChangeAspect="1"/>
                  </pic:cNvPicPr>
                </pic:nvPicPr>
                <pic:blipFill>
                  <a:blip r:embed="rId2"/>
                  <a:stretch>
                    <a:fillRect/>
                  </a:stretch>
                </pic:blipFill>
                <pic:spPr>
                  <a:xfrm>
                    <a:off x="0" y="0"/>
                    <a:ext cx="314325" cy="35369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B50E1">
    <w:pPr>
      <w:pStyle w:val="30"/>
      <w:pBdr>
        <w:bottom w:val="none" w:color="auto" w:sz="0" w:space="1"/>
      </w:pBdr>
      <w:jc w:val="left"/>
    </w:pPr>
    <w:r>
      <w:rPr>
        <w:sz w:val="18"/>
      </w:rPr>
      <w:drawing>
        <wp:anchor distT="0" distB="0" distL="114300" distR="114300" simplePos="0" relativeHeight="251718656" behindDoc="1" locked="0" layoutInCell="1" allowOverlap="1">
          <wp:simplePos x="0" y="0"/>
          <wp:positionH relativeFrom="margin">
            <wp:align>center</wp:align>
          </wp:positionH>
          <wp:positionV relativeFrom="margin">
            <wp:align>center</wp:align>
          </wp:positionV>
          <wp:extent cx="5274310" cy="5836285"/>
          <wp:effectExtent l="0" t="0" r="2540" b="12065"/>
          <wp:wrapNone/>
          <wp:docPr id="103" name="图片 1111" descr="五邑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111" descr="五邑水印"/>
                  <pic:cNvPicPr>
                    <a:picLocks noChangeAspect="1"/>
                  </pic:cNvPicPr>
                </pic:nvPicPr>
                <pic:blipFill>
                  <a:blip r:embed="rId1"/>
                  <a:stretch>
                    <a:fillRect/>
                  </a:stretch>
                </pic:blipFill>
                <pic:spPr>
                  <a:xfrm>
                    <a:off x="0" y="0"/>
                    <a:ext cx="5274310" cy="5836285"/>
                  </a:xfrm>
                  <a:prstGeom prst="rect">
                    <a:avLst/>
                  </a:prstGeom>
                  <a:noFill/>
                  <a:ln>
                    <a:noFill/>
                  </a:ln>
                </pic:spPr>
              </pic:pic>
            </a:graphicData>
          </a:graphic>
        </wp:anchor>
      </w:drawing>
    </w:r>
    <w:r>
      <w:rPr>
        <w:sz w:val="18"/>
      </w:rPr>
      <w:drawing>
        <wp:anchor distT="0" distB="0" distL="114300" distR="114300" simplePos="0" relativeHeight="251719680" behindDoc="1" locked="0" layoutInCell="1" allowOverlap="1">
          <wp:simplePos x="0" y="0"/>
          <wp:positionH relativeFrom="margin">
            <wp:align>center</wp:align>
          </wp:positionH>
          <wp:positionV relativeFrom="margin">
            <wp:align>center</wp:align>
          </wp:positionV>
          <wp:extent cx="5274310" cy="5836285"/>
          <wp:effectExtent l="0" t="0" r="2540" b="12065"/>
          <wp:wrapNone/>
          <wp:docPr id="104" name="图片 1119" descr="五邑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119" descr="五邑水印"/>
                  <pic:cNvPicPr>
                    <a:picLocks noChangeAspect="1"/>
                  </pic:cNvPicPr>
                </pic:nvPicPr>
                <pic:blipFill>
                  <a:blip r:embed="rId1"/>
                  <a:stretch>
                    <a:fillRect/>
                  </a:stretch>
                </pic:blipFill>
                <pic:spPr>
                  <a:xfrm>
                    <a:off x="0" y="0"/>
                    <a:ext cx="5274310" cy="5836285"/>
                  </a:xfrm>
                  <a:prstGeom prst="rect">
                    <a:avLst/>
                  </a:prstGeom>
                  <a:noFill/>
                  <a:ln>
                    <a:noFill/>
                  </a:ln>
                </pic:spPr>
              </pic:pic>
            </a:graphicData>
          </a:graphic>
        </wp:anchor>
      </w:drawing>
    </w:r>
    <w:r>
      <w:rPr>
        <w:sz w:val="18"/>
      </w:rPr>
      <w:drawing>
        <wp:anchor distT="0" distB="0" distL="114300" distR="114300" simplePos="0" relativeHeight="251721728" behindDoc="1" locked="0" layoutInCell="1" allowOverlap="1">
          <wp:simplePos x="0" y="0"/>
          <wp:positionH relativeFrom="margin">
            <wp:align>center</wp:align>
          </wp:positionH>
          <wp:positionV relativeFrom="margin">
            <wp:align>center</wp:align>
          </wp:positionV>
          <wp:extent cx="5274310" cy="5836285"/>
          <wp:effectExtent l="0" t="0" r="2540" b="12065"/>
          <wp:wrapNone/>
          <wp:docPr id="106" name="图片 1121" descr="五邑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121" descr="五邑水印"/>
                  <pic:cNvPicPr>
                    <a:picLocks noChangeAspect="1"/>
                  </pic:cNvPicPr>
                </pic:nvPicPr>
                <pic:blipFill>
                  <a:blip r:embed="rId1"/>
                  <a:stretch>
                    <a:fillRect/>
                  </a:stretch>
                </pic:blipFill>
                <pic:spPr>
                  <a:xfrm>
                    <a:off x="0" y="0"/>
                    <a:ext cx="5274310" cy="5836285"/>
                  </a:xfrm>
                  <a:prstGeom prst="rect">
                    <a:avLst/>
                  </a:prstGeom>
                  <a:noFill/>
                  <a:ln>
                    <a:noFill/>
                  </a:ln>
                </pic:spPr>
              </pic:pic>
            </a:graphicData>
          </a:graphic>
        </wp:anchor>
      </w:drawing>
    </w:r>
    <w:r>
      <w:rPr>
        <w:lang w:val="en-US" w:eastAsia="zh-CN"/>
      </w:rPr>
      <w:drawing>
        <wp:inline distT="0" distB="0" distL="114300" distR="114300">
          <wp:extent cx="314325" cy="353695"/>
          <wp:effectExtent l="0" t="0" r="9525" b="8255"/>
          <wp:docPr id="107"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2" descr="IMG_256"/>
                  <pic:cNvPicPr>
                    <a:picLocks noChangeAspect="1"/>
                  </pic:cNvPicPr>
                </pic:nvPicPr>
                <pic:blipFill>
                  <a:blip r:embed="rId2"/>
                  <a:stretch>
                    <a:fillRect/>
                  </a:stretch>
                </pic:blipFill>
                <pic:spPr>
                  <a:xfrm>
                    <a:off x="0" y="0"/>
                    <a:ext cx="314325" cy="353695"/>
                  </a:xfrm>
                  <a:prstGeom prst="rect">
                    <a:avLst/>
                  </a:prstGeom>
                  <a:noFill/>
                  <a:ln>
                    <a:noFill/>
                  </a:ln>
                </pic:spPr>
              </pic:pic>
            </a:graphicData>
          </a:graphic>
        </wp:inline>
      </w:drawing>
    </w:r>
    <w:r>
      <w:drawing>
        <wp:inline distT="0" distB="0" distL="114300" distR="114300">
          <wp:extent cx="1926590" cy="285115"/>
          <wp:effectExtent l="0" t="0" r="16510" b="635"/>
          <wp:docPr id="10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3"/>
                  <pic:cNvPicPr>
                    <a:picLocks noChangeAspect="1"/>
                  </pic:cNvPicPr>
                </pic:nvPicPr>
                <pic:blipFill>
                  <a:blip r:embed="rId3"/>
                  <a:stretch>
                    <a:fillRect/>
                  </a:stretch>
                </pic:blipFill>
                <pic:spPr>
                  <a:xfrm>
                    <a:off x="0" y="0"/>
                    <a:ext cx="1926590" cy="28511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820200">
    <w:pPr>
      <w:pStyle w:val="30"/>
      <w:pBdr>
        <w:bottom w:val="none" w:color="auto" w:sz="0" w:space="1"/>
      </w:pBdr>
    </w:pPr>
    <w:r>
      <w:rPr>
        <w:lang w:val="en-US" w:eastAsia="zh-CN"/>
      </w:rPr>
      <w:drawing>
        <wp:anchor distT="0" distB="0" distL="114300" distR="114300" simplePos="0" relativeHeight="251686912" behindDoc="1" locked="0" layoutInCell="1" allowOverlap="1">
          <wp:simplePos x="0" y="0"/>
          <wp:positionH relativeFrom="column">
            <wp:posOffset>284480</wp:posOffset>
          </wp:positionH>
          <wp:positionV relativeFrom="paragraph">
            <wp:posOffset>-52705</wp:posOffset>
          </wp:positionV>
          <wp:extent cx="314325" cy="353695"/>
          <wp:effectExtent l="0" t="0" r="9525" b="8255"/>
          <wp:wrapNone/>
          <wp:docPr id="68" name="图片 107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073" descr="IMG_256"/>
                  <pic:cNvPicPr>
                    <a:picLocks noChangeAspect="1"/>
                  </pic:cNvPicPr>
                </pic:nvPicPr>
                <pic:blipFill>
                  <a:blip r:embed="rId1"/>
                  <a:stretch>
                    <a:fillRect/>
                  </a:stretch>
                </pic:blipFill>
                <pic:spPr>
                  <a:xfrm>
                    <a:off x="0" y="0"/>
                    <a:ext cx="314325" cy="353695"/>
                  </a:xfrm>
                  <a:prstGeom prst="rect">
                    <a:avLst/>
                  </a:prstGeom>
                  <a:noFill/>
                  <a:ln>
                    <a:noFill/>
                  </a:ln>
                </pic:spPr>
              </pic:pic>
            </a:graphicData>
          </a:graphic>
        </wp:anchor>
      </w:drawing>
    </w:r>
    <w:r>
      <w:drawing>
        <wp:anchor distT="0" distB="0" distL="114300" distR="114300" simplePos="0" relativeHeight="251685888" behindDoc="0" locked="0" layoutInCell="1" allowOverlap="1">
          <wp:simplePos x="0" y="0"/>
          <wp:positionH relativeFrom="column">
            <wp:posOffset>600075</wp:posOffset>
          </wp:positionH>
          <wp:positionV relativeFrom="paragraph">
            <wp:posOffset>2540</wp:posOffset>
          </wp:positionV>
          <wp:extent cx="1926590" cy="285115"/>
          <wp:effectExtent l="0" t="0" r="16510" b="635"/>
          <wp:wrapSquare wrapText="bothSides"/>
          <wp:docPr id="67" name="图片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072"/>
                  <pic:cNvPicPr>
                    <a:picLocks noChangeAspect="1"/>
                  </pic:cNvPicPr>
                </pic:nvPicPr>
                <pic:blipFill>
                  <a:blip r:embed="rId2"/>
                  <a:stretch>
                    <a:fillRect/>
                  </a:stretch>
                </pic:blipFill>
                <pic:spPr>
                  <a:xfrm>
                    <a:off x="0" y="0"/>
                    <a:ext cx="1926590" cy="28511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0AD07">
    <w:pPr>
      <w:pStyle w:val="30"/>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937250" cy="5798820"/>
          <wp:effectExtent l="0" t="0" r="6350" b="11430"/>
          <wp:wrapNone/>
          <wp:docPr id="39" name="WordPictureWatermark10807383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ordPictureWatermark108073838" descr="水印"/>
                  <pic:cNvPicPr>
                    <a:picLocks noChangeAspect="1"/>
                  </pic:cNvPicPr>
                </pic:nvPicPr>
                <pic:blipFill>
                  <a:blip r:embed="rId1">
                    <a:lum bright="70001" contrast="-70000"/>
                  </a:blip>
                  <a:stretch>
                    <a:fillRect/>
                  </a:stretch>
                </pic:blipFill>
                <pic:spPr>
                  <a:xfrm>
                    <a:off x="0" y="0"/>
                    <a:ext cx="5937250" cy="5798820"/>
                  </a:xfrm>
                  <a:prstGeom prst="rect">
                    <a:avLst/>
                  </a:prstGeom>
                  <a:noFill/>
                  <a:ln>
                    <a:noFill/>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1EBB7">
    <w:pPr>
      <w:pStyle w:val="30"/>
      <w:pBdr>
        <w:bottom w:val="none" w:color="auto" w:sz="0" w:space="1"/>
      </w:pBdr>
    </w:pPr>
    <w:r>
      <w:rPr>
        <w:lang w:val="en-US" w:eastAsia="zh-CN"/>
      </w:rPr>
      <w:drawing>
        <wp:anchor distT="0" distB="0" distL="114300" distR="114300" simplePos="0" relativeHeight="251688960" behindDoc="1" locked="0" layoutInCell="1" allowOverlap="1">
          <wp:simplePos x="0" y="0"/>
          <wp:positionH relativeFrom="column">
            <wp:posOffset>284480</wp:posOffset>
          </wp:positionH>
          <wp:positionV relativeFrom="paragraph">
            <wp:posOffset>-52705</wp:posOffset>
          </wp:positionV>
          <wp:extent cx="314325" cy="353695"/>
          <wp:effectExtent l="0" t="0" r="9525" b="8255"/>
          <wp:wrapNone/>
          <wp:docPr id="70" name="图片 107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075" descr="IMG_256"/>
                  <pic:cNvPicPr>
                    <a:picLocks noChangeAspect="1"/>
                  </pic:cNvPicPr>
                </pic:nvPicPr>
                <pic:blipFill>
                  <a:blip r:embed="rId1"/>
                  <a:stretch>
                    <a:fillRect/>
                  </a:stretch>
                </pic:blipFill>
                <pic:spPr>
                  <a:xfrm>
                    <a:off x="0" y="0"/>
                    <a:ext cx="314325" cy="353695"/>
                  </a:xfrm>
                  <a:prstGeom prst="rect">
                    <a:avLst/>
                  </a:prstGeom>
                  <a:noFill/>
                  <a:ln>
                    <a:noFill/>
                  </a:ln>
                </pic:spPr>
              </pic:pic>
            </a:graphicData>
          </a:graphic>
        </wp:anchor>
      </w:drawing>
    </w:r>
    <w:r>
      <w:drawing>
        <wp:anchor distT="0" distB="0" distL="114300" distR="114300" simplePos="0" relativeHeight="251687936" behindDoc="0" locked="0" layoutInCell="1" allowOverlap="1">
          <wp:simplePos x="0" y="0"/>
          <wp:positionH relativeFrom="column">
            <wp:posOffset>600075</wp:posOffset>
          </wp:positionH>
          <wp:positionV relativeFrom="paragraph">
            <wp:posOffset>2540</wp:posOffset>
          </wp:positionV>
          <wp:extent cx="1926590" cy="285115"/>
          <wp:effectExtent l="0" t="0" r="16510" b="635"/>
          <wp:wrapSquare wrapText="bothSides"/>
          <wp:docPr id="69" name="图片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74"/>
                  <pic:cNvPicPr>
                    <a:picLocks noChangeAspect="1"/>
                  </pic:cNvPicPr>
                </pic:nvPicPr>
                <pic:blipFill>
                  <a:blip r:embed="rId2"/>
                  <a:stretch>
                    <a:fillRect/>
                  </a:stretch>
                </pic:blipFill>
                <pic:spPr>
                  <a:xfrm>
                    <a:off x="0" y="0"/>
                    <a:ext cx="1926590" cy="285115"/>
                  </a:xfrm>
                  <a:prstGeom prst="rect">
                    <a:avLst/>
                  </a:prstGeom>
                  <a:noFill/>
                  <a:ln>
                    <a:noFill/>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EF859">
    <w:pPr>
      <w:pStyle w:val="30"/>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937250" cy="5798820"/>
          <wp:effectExtent l="0" t="0" r="6350" b="11430"/>
          <wp:wrapNone/>
          <wp:docPr id="37" name="WordPictureWatermark108073841"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WordPictureWatermark108073841" descr="水印"/>
                  <pic:cNvPicPr>
                    <a:picLocks noChangeAspect="1"/>
                  </pic:cNvPicPr>
                </pic:nvPicPr>
                <pic:blipFill>
                  <a:blip r:embed="rId1">
                    <a:lum bright="70001" contrast="-70000"/>
                  </a:blip>
                  <a:stretch>
                    <a:fillRect/>
                  </a:stretch>
                </pic:blipFill>
                <pic:spPr>
                  <a:xfrm>
                    <a:off x="0" y="0"/>
                    <a:ext cx="5937250" cy="5798820"/>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17E60D">
    <w:pPr>
      <w:pStyle w:val="30"/>
      <w:pBdr>
        <w:bottom w:val="none" w:color="auto" w:sz="0" w:space="1"/>
      </w:pBdr>
    </w:pPr>
    <w:r>
      <w:drawing>
        <wp:anchor distT="0" distB="0" distL="114300" distR="114300" simplePos="0" relativeHeight="251691008" behindDoc="0" locked="0" layoutInCell="1" allowOverlap="1">
          <wp:simplePos x="0" y="0"/>
          <wp:positionH relativeFrom="column">
            <wp:posOffset>600075</wp:posOffset>
          </wp:positionH>
          <wp:positionV relativeFrom="paragraph">
            <wp:posOffset>2540</wp:posOffset>
          </wp:positionV>
          <wp:extent cx="1926590" cy="285115"/>
          <wp:effectExtent l="0" t="0" r="16510" b="635"/>
          <wp:wrapSquare wrapText="bothSides"/>
          <wp:docPr id="72" name="图片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077"/>
                  <pic:cNvPicPr>
                    <a:picLocks noChangeAspect="1"/>
                  </pic:cNvPicPr>
                </pic:nvPicPr>
                <pic:blipFill>
                  <a:blip r:embed="rId1"/>
                  <a:stretch>
                    <a:fillRect/>
                  </a:stretch>
                </pic:blipFill>
                <pic:spPr>
                  <a:xfrm>
                    <a:off x="0" y="0"/>
                    <a:ext cx="1926590" cy="285115"/>
                  </a:xfrm>
                  <a:prstGeom prst="rect">
                    <a:avLst/>
                  </a:prstGeom>
                  <a:noFill/>
                  <a:ln>
                    <a:noFill/>
                  </a:ln>
                </pic:spPr>
              </pic:pic>
            </a:graphicData>
          </a:graphic>
        </wp:anchor>
      </w:drawing>
    </w:r>
    <w:r>
      <w:rPr>
        <w:lang w:val="en-US" w:eastAsia="zh-CN"/>
      </w:rPr>
      <w:drawing>
        <wp:anchor distT="0" distB="0" distL="114300" distR="114300" simplePos="0" relativeHeight="251689984" behindDoc="1" locked="0" layoutInCell="1" allowOverlap="1">
          <wp:simplePos x="0" y="0"/>
          <wp:positionH relativeFrom="column">
            <wp:posOffset>284480</wp:posOffset>
          </wp:positionH>
          <wp:positionV relativeFrom="paragraph">
            <wp:posOffset>-52705</wp:posOffset>
          </wp:positionV>
          <wp:extent cx="314325" cy="353695"/>
          <wp:effectExtent l="0" t="0" r="9525" b="8255"/>
          <wp:wrapNone/>
          <wp:docPr id="71" name="图片 10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076" descr="IMG_256"/>
                  <pic:cNvPicPr>
                    <a:picLocks noChangeAspect="1"/>
                  </pic:cNvPicPr>
                </pic:nvPicPr>
                <pic:blipFill>
                  <a:blip r:embed="rId2"/>
                  <a:stretch>
                    <a:fillRect/>
                  </a:stretch>
                </pic:blipFill>
                <pic:spPr>
                  <a:xfrm>
                    <a:off x="0" y="0"/>
                    <a:ext cx="314325" cy="353695"/>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03B4DD">
    <w:pPr>
      <w:pStyle w:val="30"/>
      <w:pBdr>
        <w:bottom w:val="none" w:color="auto" w:sz="0" w:space="0"/>
      </w:pBdr>
    </w:pPr>
    <w:r>
      <w:drawing>
        <wp:anchor distT="0" distB="0" distL="114300" distR="114300" simplePos="0" relativeHeight="251710464" behindDoc="1" locked="0" layoutInCell="1" allowOverlap="1">
          <wp:simplePos x="0" y="0"/>
          <wp:positionH relativeFrom="column">
            <wp:posOffset>36830</wp:posOffset>
          </wp:positionH>
          <wp:positionV relativeFrom="paragraph">
            <wp:posOffset>-100330</wp:posOffset>
          </wp:positionV>
          <wp:extent cx="314325" cy="353695"/>
          <wp:effectExtent l="0" t="0" r="5715" b="12065"/>
          <wp:wrapNone/>
          <wp:docPr id="112" name="图片 106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065" descr="IMG_256"/>
                  <pic:cNvPicPr>
                    <a:picLocks noChangeAspect="1"/>
                  </pic:cNvPicPr>
                </pic:nvPicPr>
                <pic:blipFill>
                  <a:blip r:embed="rId1"/>
                  <a:stretch>
                    <a:fillRect/>
                  </a:stretch>
                </pic:blipFill>
                <pic:spPr>
                  <a:xfrm>
                    <a:off x="0" y="0"/>
                    <a:ext cx="314325" cy="353695"/>
                  </a:xfrm>
                  <a:prstGeom prst="rect">
                    <a:avLst/>
                  </a:prstGeom>
                  <a:noFill/>
                  <a:ln>
                    <a:noFill/>
                  </a:ln>
                </pic:spPr>
              </pic:pic>
            </a:graphicData>
          </a:graphic>
        </wp:anchor>
      </w:drawing>
    </w:r>
    <w:r>
      <w:drawing>
        <wp:anchor distT="0" distB="0" distL="114300" distR="114300" simplePos="0" relativeHeight="251712512" behindDoc="1" locked="0" layoutInCell="1" allowOverlap="1">
          <wp:simplePos x="0" y="0"/>
          <wp:positionH relativeFrom="margin">
            <wp:posOffset>351790</wp:posOffset>
          </wp:positionH>
          <wp:positionV relativeFrom="margin">
            <wp:posOffset>1562100</wp:posOffset>
          </wp:positionV>
          <wp:extent cx="5274310" cy="5836285"/>
          <wp:effectExtent l="0" t="0" r="13970" b="635"/>
          <wp:wrapNone/>
          <wp:docPr id="113" name="图片 1066" descr="五邑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066" descr="五邑水印"/>
                  <pic:cNvPicPr>
                    <a:picLocks noChangeAspect="1"/>
                  </pic:cNvPicPr>
                </pic:nvPicPr>
                <pic:blipFill>
                  <a:blip r:embed="rId2"/>
                  <a:stretch>
                    <a:fillRect/>
                  </a:stretch>
                </pic:blipFill>
                <pic:spPr>
                  <a:xfrm>
                    <a:off x="0" y="0"/>
                    <a:ext cx="5274310" cy="5836285"/>
                  </a:xfrm>
                  <a:prstGeom prst="rect">
                    <a:avLst/>
                  </a:prstGeom>
                  <a:noFill/>
                  <a:ln>
                    <a:noFill/>
                  </a:ln>
                </pic:spPr>
              </pic:pic>
            </a:graphicData>
          </a:graphic>
        </wp:anchor>
      </w:drawing>
    </w:r>
    <w:r>
      <w:drawing>
        <wp:anchor distT="0" distB="0" distL="114300" distR="114300" simplePos="0" relativeHeight="251711488" behindDoc="0" locked="0" layoutInCell="1" allowOverlap="1">
          <wp:simplePos x="0" y="0"/>
          <wp:positionH relativeFrom="column">
            <wp:posOffset>363855</wp:posOffset>
          </wp:positionH>
          <wp:positionV relativeFrom="paragraph">
            <wp:posOffset>-44450</wp:posOffset>
          </wp:positionV>
          <wp:extent cx="1926590" cy="237490"/>
          <wp:effectExtent l="0" t="0" r="8890" b="6350"/>
          <wp:wrapSquare wrapText="bothSides"/>
          <wp:docPr id="114" name="图片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067"/>
                  <pic:cNvPicPr>
                    <a:picLocks noChangeAspect="1"/>
                  </pic:cNvPicPr>
                </pic:nvPicPr>
                <pic:blipFill>
                  <a:blip r:embed="rId3"/>
                  <a:stretch>
                    <a:fillRect/>
                  </a:stretch>
                </pic:blipFill>
                <pic:spPr>
                  <a:xfrm>
                    <a:off x="0" y="0"/>
                    <a:ext cx="1926590" cy="237490"/>
                  </a:xfrm>
                  <a:prstGeom prst="rect">
                    <a:avLst/>
                  </a:prstGeom>
                  <a:noFill/>
                  <a:ln>
                    <a:noFill/>
                  </a:ln>
                </pic:spPr>
              </pic:pic>
            </a:graphicData>
          </a:graphic>
        </wp:anchor>
      </w:drawing>
    </w:r>
    <w:r>
      <w:drawing>
        <wp:anchor distT="0" distB="0" distL="114300" distR="114300" simplePos="0" relativeHeight="251713536" behindDoc="1" locked="0" layoutInCell="1" allowOverlap="1">
          <wp:simplePos x="0" y="0"/>
          <wp:positionH relativeFrom="margin">
            <wp:align>center</wp:align>
          </wp:positionH>
          <wp:positionV relativeFrom="margin">
            <wp:align>center</wp:align>
          </wp:positionV>
          <wp:extent cx="5274310" cy="5836285"/>
          <wp:effectExtent l="0" t="0" r="13970" b="635"/>
          <wp:wrapNone/>
          <wp:docPr id="115" name="图片 1068" descr="五邑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068" descr="五邑水印"/>
                  <pic:cNvPicPr>
                    <a:picLocks noChangeAspect="1"/>
                  </pic:cNvPicPr>
                </pic:nvPicPr>
                <pic:blipFill>
                  <a:blip r:embed="rId2"/>
                  <a:stretch>
                    <a:fillRect/>
                  </a:stretch>
                </pic:blipFill>
                <pic:spPr>
                  <a:xfrm>
                    <a:off x="0" y="0"/>
                    <a:ext cx="5274310" cy="5836285"/>
                  </a:xfrm>
                  <a:prstGeom prst="rect">
                    <a:avLst/>
                  </a:prstGeom>
                  <a:noFill/>
                  <a:ln>
                    <a:noFill/>
                  </a:ln>
                </pic:spPr>
              </pic:pic>
            </a:graphicData>
          </a:graphic>
        </wp:anchor>
      </w:drawing>
    </w:r>
    <w:r>
      <w:drawing>
        <wp:anchor distT="0" distB="0" distL="114300" distR="114300" simplePos="0" relativeHeight="251720704" behindDoc="1" locked="0" layoutInCell="1" allowOverlap="1">
          <wp:simplePos x="0" y="0"/>
          <wp:positionH relativeFrom="margin">
            <wp:align>center</wp:align>
          </wp:positionH>
          <wp:positionV relativeFrom="margin">
            <wp:align>center</wp:align>
          </wp:positionV>
          <wp:extent cx="5274310" cy="5836285"/>
          <wp:effectExtent l="0" t="0" r="13970" b="635"/>
          <wp:wrapNone/>
          <wp:docPr id="116" name="图片 1075" descr="五邑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075" descr="五邑水印"/>
                  <pic:cNvPicPr>
                    <a:picLocks noChangeAspect="1"/>
                  </pic:cNvPicPr>
                </pic:nvPicPr>
                <pic:blipFill>
                  <a:blip r:embed="rId2"/>
                  <a:stretch>
                    <a:fillRect/>
                  </a:stretch>
                </pic:blipFill>
                <pic:spPr>
                  <a:xfrm>
                    <a:off x="0" y="0"/>
                    <a:ext cx="5274310" cy="58362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F21EFB5"/>
    <w:multiLevelType w:val="singleLevel"/>
    <w:tmpl w:val="9F21EFB5"/>
    <w:lvl w:ilvl="0" w:tentative="0">
      <w:start w:val="1"/>
      <w:numFmt w:val="decimal"/>
      <w:suff w:val="nothing"/>
      <w:lvlText w:val="%1、"/>
      <w:lvlJc w:val="left"/>
    </w:lvl>
  </w:abstractNum>
  <w:abstractNum w:abstractNumId="1">
    <w:nsid w:val="B440EEF9"/>
    <w:multiLevelType w:val="singleLevel"/>
    <w:tmpl w:val="B440EEF9"/>
    <w:lvl w:ilvl="0" w:tentative="0">
      <w:start w:val="1"/>
      <w:numFmt w:val="chineseCounting"/>
      <w:suff w:val="space"/>
      <w:lvlText w:val="（%1）"/>
      <w:lvlJc w:val="left"/>
      <w:rPr>
        <w:rFonts w:hint="eastAsia"/>
      </w:rPr>
    </w:lvl>
  </w:abstractNum>
  <w:abstractNum w:abstractNumId="2">
    <w:nsid w:val="B4F6793F"/>
    <w:multiLevelType w:val="singleLevel"/>
    <w:tmpl w:val="B4F6793F"/>
    <w:lvl w:ilvl="0" w:tentative="0">
      <w:start w:val="2"/>
      <w:numFmt w:val="decimal"/>
      <w:lvlText w:val="%1."/>
      <w:lvlJc w:val="left"/>
      <w:pPr>
        <w:tabs>
          <w:tab w:val="left" w:pos="312"/>
        </w:tabs>
        <w:ind w:left="960" w:leftChars="0" w:firstLine="0" w:firstLineChars="0"/>
      </w:pPr>
    </w:lvl>
  </w:abstractNum>
  <w:abstractNum w:abstractNumId="3">
    <w:nsid w:val="C1B81C6D"/>
    <w:multiLevelType w:val="singleLevel"/>
    <w:tmpl w:val="C1B81C6D"/>
    <w:lvl w:ilvl="0" w:tentative="0">
      <w:start w:val="1"/>
      <w:numFmt w:val="decimal"/>
      <w:suff w:val="nothing"/>
      <w:lvlText w:val="%1、"/>
      <w:lvlJc w:val="left"/>
    </w:lvl>
  </w:abstractNum>
  <w:abstractNum w:abstractNumId="4">
    <w:nsid w:val="C1F55407"/>
    <w:multiLevelType w:val="singleLevel"/>
    <w:tmpl w:val="C1F55407"/>
    <w:lvl w:ilvl="0" w:tentative="0">
      <w:start w:val="1"/>
      <w:numFmt w:val="decimal"/>
      <w:suff w:val="nothing"/>
      <w:lvlText w:val="%1、"/>
      <w:lvlJc w:val="left"/>
    </w:lvl>
  </w:abstractNum>
  <w:abstractNum w:abstractNumId="5">
    <w:nsid w:val="D6323EA1"/>
    <w:multiLevelType w:val="singleLevel"/>
    <w:tmpl w:val="D6323EA1"/>
    <w:lvl w:ilvl="0" w:tentative="0">
      <w:start w:val="1"/>
      <w:numFmt w:val="decimal"/>
      <w:suff w:val="nothing"/>
      <w:lvlText w:val="%1、"/>
      <w:lvlJc w:val="left"/>
    </w:lvl>
  </w:abstractNum>
  <w:abstractNum w:abstractNumId="6">
    <w:nsid w:val="E2B4C1E4"/>
    <w:multiLevelType w:val="singleLevel"/>
    <w:tmpl w:val="E2B4C1E4"/>
    <w:lvl w:ilvl="0" w:tentative="0">
      <w:start w:val="2"/>
      <w:numFmt w:val="decimal"/>
      <w:suff w:val="nothing"/>
      <w:lvlText w:val="%1、"/>
      <w:lvlJc w:val="left"/>
    </w:lvl>
  </w:abstractNum>
  <w:abstractNum w:abstractNumId="7">
    <w:nsid w:val="0EF6EE0E"/>
    <w:multiLevelType w:val="singleLevel"/>
    <w:tmpl w:val="0EF6EE0E"/>
    <w:lvl w:ilvl="0" w:tentative="0">
      <w:start w:val="2"/>
      <w:numFmt w:val="chineseCounting"/>
      <w:suff w:val="nothing"/>
      <w:lvlText w:val="（%1）"/>
      <w:lvlJc w:val="left"/>
      <w:rPr>
        <w:rFonts w:hint="eastAsia"/>
      </w:rPr>
    </w:lvl>
  </w:abstractNum>
  <w:abstractNum w:abstractNumId="8">
    <w:nsid w:val="2003905D"/>
    <w:multiLevelType w:val="singleLevel"/>
    <w:tmpl w:val="2003905D"/>
    <w:lvl w:ilvl="0" w:tentative="0">
      <w:start w:val="1"/>
      <w:numFmt w:val="decimal"/>
      <w:suff w:val="nothing"/>
      <w:lvlText w:val="%1、"/>
      <w:lvlJc w:val="left"/>
    </w:lvl>
  </w:abstractNum>
  <w:abstractNum w:abstractNumId="9">
    <w:nsid w:val="260A82EB"/>
    <w:multiLevelType w:val="singleLevel"/>
    <w:tmpl w:val="260A82EB"/>
    <w:lvl w:ilvl="0" w:tentative="0">
      <w:start w:val="1"/>
      <w:numFmt w:val="decimal"/>
      <w:suff w:val="nothing"/>
      <w:lvlText w:val="%1、"/>
      <w:lvlJc w:val="left"/>
    </w:lvl>
  </w:abstractNum>
  <w:abstractNum w:abstractNumId="10">
    <w:nsid w:val="47E34C07"/>
    <w:multiLevelType w:val="singleLevel"/>
    <w:tmpl w:val="47E34C07"/>
    <w:lvl w:ilvl="0" w:tentative="0">
      <w:start w:val="1"/>
      <w:numFmt w:val="decimal"/>
      <w:suff w:val="nothing"/>
      <w:lvlText w:val="%1、"/>
      <w:lvlJc w:val="left"/>
    </w:lvl>
  </w:abstractNum>
  <w:abstractNum w:abstractNumId="11">
    <w:nsid w:val="5D25D8F0"/>
    <w:multiLevelType w:val="singleLevel"/>
    <w:tmpl w:val="5D25D8F0"/>
    <w:lvl w:ilvl="0" w:tentative="0">
      <w:start w:val="1"/>
      <w:numFmt w:val="decimal"/>
      <w:suff w:val="nothing"/>
      <w:lvlText w:val="%1、"/>
      <w:lvlJc w:val="left"/>
    </w:lvl>
  </w:abstractNum>
  <w:abstractNum w:abstractNumId="12">
    <w:nsid w:val="5E1097A4"/>
    <w:multiLevelType w:val="singleLevel"/>
    <w:tmpl w:val="5E1097A4"/>
    <w:lvl w:ilvl="0" w:tentative="0">
      <w:start w:val="1"/>
      <w:numFmt w:val="decimal"/>
      <w:suff w:val="nothing"/>
      <w:lvlText w:val="%1、"/>
      <w:lvlJc w:val="left"/>
    </w:lvl>
  </w:abstractNum>
  <w:abstractNum w:abstractNumId="13">
    <w:nsid w:val="64086249"/>
    <w:multiLevelType w:val="singleLevel"/>
    <w:tmpl w:val="64086249"/>
    <w:lvl w:ilvl="0" w:tentative="0">
      <w:start w:val="1"/>
      <w:numFmt w:val="decimal"/>
      <w:suff w:val="nothing"/>
      <w:lvlText w:val="%1、"/>
      <w:lvlJc w:val="left"/>
    </w:lvl>
  </w:abstractNum>
  <w:abstractNum w:abstractNumId="14">
    <w:nsid w:val="6E976FF2"/>
    <w:multiLevelType w:val="singleLevel"/>
    <w:tmpl w:val="6E976FF2"/>
    <w:lvl w:ilvl="0" w:tentative="0">
      <w:start w:val="1"/>
      <w:numFmt w:val="decimal"/>
      <w:suff w:val="nothing"/>
      <w:lvlText w:val="%1、"/>
      <w:lvlJc w:val="left"/>
    </w:lvl>
  </w:abstractNum>
  <w:abstractNum w:abstractNumId="15">
    <w:nsid w:val="72B5F607"/>
    <w:multiLevelType w:val="singleLevel"/>
    <w:tmpl w:val="72B5F607"/>
    <w:lvl w:ilvl="0" w:tentative="0">
      <w:start w:val="1"/>
      <w:numFmt w:val="chineseCounting"/>
      <w:suff w:val="nothing"/>
      <w:lvlText w:val="%1、"/>
      <w:lvlJc w:val="left"/>
      <w:rPr>
        <w:rFonts w:hint="eastAsia"/>
      </w:rPr>
    </w:lvl>
  </w:abstractNum>
  <w:abstractNum w:abstractNumId="16">
    <w:nsid w:val="782C9B82"/>
    <w:multiLevelType w:val="singleLevel"/>
    <w:tmpl w:val="782C9B82"/>
    <w:lvl w:ilvl="0" w:tentative="0">
      <w:start w:val="1"/>
      <w:numFmt w:val="decimal"/>
      <w:suff w:val="nothing"/>
      <w:lvlText w:val="%1、"/>
      <w:lvlJc w:val="left"/>
    </w:lvl>
  </w:abstractNum>
  <w:num w:numId="1">
    <w:abstractNumId w:val="1"/>
  </w:num>
  <w:num w:numId="2">
    <w:abstractNumId w:val="15"/>
  </w:num>
  <w:num w:numId="3">
    <w:abstractNumId w:val="14"/>
  </w:num>
  <w:num w:numId="4">
    <w:abstractNumId w:val="6"/>
  </w:num>
  <w:num w:numId="5">
    <w:abstractNumId w:val="11"/>
  </w:num>
  <w:num w:numId="6">
    <w:abstractNumId w:val="5"/>
  </w:num>
  <w:num w:numId="7">
    <w:abstractNumId w:val="8"/>
  </w:num>
  <w:num w:numId="8">
    <w:abstractNumId w:val="13"/>
  </w:num>
  <w:num w:numId="9">
    <w:abstractNumId w:val="12"/>
  </w:num>
  <w:num w:numId="10">
    <w:abstractNumId w:val="4"/>
  </w:num>
  <w:num w:numId="11">
    <w:abstractNumId w:val="9"/>
  </w:num>
  <w:num w:numId="12">
    <w:abstractNumId w:val="10"/>
  </w:num>
  <w:num w:numId="13">
    <w:abstractNumId w:val="3"/>
  </w:num>
  <w:num w:numId="14">
    <w:abstractNumId w:val="16"/>
  </w:num>
  <w:num w:numId="15">
    <w:abstractNumId w:val="0"/>
  </w:num>
  <w:num w:numId="16">
    <w:abstractNumId w:val="7"/>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3NWUzOTI2ZjdkMTVjMzhiMzhmMmRiOWVhYWYyOTcifQ=="/>
  </w:docVars>
  <w:rsids>
    <w:rsidRoot w:val="00172A27"/>
    <w:rsid w:val="0000056E"/>
    <w:rsid w:val="00000D2C"/>
    <w:rsid w:val="00001F17"/>
    <w:rsid w:val="00002382"/>
    <w:rsid w:val="000035DE"/>
    <w:rsid w:val="000035FE"/>
    <w:rsid w:val="00003754"/>
    <w:rsid w:val="000037A4"/>
    <w:rsid w:val="00003D88"/>
    <w:rsid w:val="000046B2"/>
    <w:rsid w:val="00005A35"/>
    <w:rsid w:val="0000625D"/>
    <w:rsid w:val="000068BC"/>
    <w:rsid w:val="000069C4"/>
    <w:rsid w:val="000070F7"/>
    <w:rsid w:val="00007710"/>
    <w:rsid w:val="00010265"/>
    <w:rsid w:val="000103CD"/>
    <w:rsid w:val="00010B3C"/>
    <w:rsid w:val="00011777"/>
    <w:rsid w:val="0001200B"/>
    <w:rsid w:val="000129E1"/>
    <w:rsid w:val="00012FEA"/>
    <w:rsid w:val="000148C6"/>
    <w:rsid w:val="00014AF6"/>
    <w:rsid w:val="00015676"/>
    <w:rsid w:val="00015872"/>
    <w:rsid w:val="00017096"/>
    <w:rsid w:val="00017A20"/>
    <w:rsid w:val="00017C1F"/>
    <w:rsid w:val="00017C3D"/>
    <w:rsid w:val="00017CA6"/>
    <w:rsid w:val="00017D59"/>
    <w:rsid w:val="00020234"/>
    <w:rsid w:val="0002053A"/>
    <w:rsid w:val="0002276B"/>
    <w:rsid w:val="0002281B"/>
    <w:rsid w:val="00022DCE"/>
    <w:rsid w:val="00023430"/>
    <w:rsid w:val="0002362B"/>
    <w:rsid w:val="000245B4"/>
    <w:rsid w:val="000247AD"/>
    <w:rsid w:val="00024B3A"/>
    <w:rsid w:val="000258DD"/>
    <w:rsid w:val="0002598C"/>
    <w:rsid w:val="00031A7B"/>
    <w:rsid w:val="00033D03"/>
    <w:rsid w:val="00034086"/>
    <w:rsid w:val="0003438A"/>
    <w:rsid w:val="00034504"/>
    <w:rsid w:val="000345BB"/>
    <w:rsid w:val="00034B7F"/>
    <w:rsid w:val="00034D05"/>
    <w:rsid w:val="00034F2B"/>
    <w:rsid w:val="000354B6"/>
    <w:rsid w:val="000357EF"/>
    <w:rsid w:val="000368C6"/>
    <w:rsid w:val="00037307"/>
    <w:rsid w:val="0004133E"/>
    <w:rsid w:val="00041B96"/>
    <w:rsid w:val="00041BE6"/>
    <w:rsid w:val="00041F08"/>
    <w:rsid w:val="0004279B"/>
    <w:rsid w:val="00043A31"/>
    <w:rsid w:val="00044244"/>
    <w:rsid w:val="00044610"/>
    <w:rsid w:val="00044C4E"/>
    <w:rsid w:val="00044DF4"/>
    <w:rsid w:val="000455C5"/>
    <w:rsid w:val="00045DA4"/>
    <w:rsid w:val="00045F7F"/>
    <w:rsid w:val="00046815"/>
    <w:rsid w:val="00046A23"/>
    <w:rsid w:val="00046A5A"/>
    <w:rsid w:val="00046F20"/>
    <w:rsid w:val="000474D6"/>
    <w:rsid w:val="0004769C"/>
    <w:rsid w:val="000476A0"/>
    <w:rsid w:val="00050009"/>
    <w:rsid w:val="00050737"/>
    <w:rsid w:val="00051178"/>
    <w:rsid w:val="00051693"/>
    <w:rsid w:val="00051F6E"/>
    <w:rsid w:val="000520A5"/>
    <w:rsid w:val="00052206"/>
    <w:rsid w:val="000524CF"/>
    <w:rsid w:val="0005286B"/>
    <w:rsid w:val="00052DC8"/>
    <w:rsid w:val="00053273"/>
    <w:rsid w:val="00053618"/>
    <w:rsid w:val="000536CA"/>
    <w:rsid w:val="00054197"/>
    <w:rsid w:val="000541EA"/>
    <w:rsid w:val="00054BE3"/>
    <w:rsid w:val="0005529E"/>
    <w:rsid w:val="000553A8"/>
    <w:rsid w:val="000555F4"/>
    <w:rsid w:val="00057945"/>
    <w:rsid w:val="00057C46"/>
    <w:rsid w:val="000604BA"/>
    <w:rsid w:val="00060881"/>
    <w:rsid w:val="00060CAA"/>
    <w:rsid w:val="00060DEC"/>
    <w:rsid w:val="00061B4C"/>
    <w:rsid w:val="000621B1"/>
    <w:rsid w:val="00063DEC"/>
    <w:rsid w:val="000645BC"/>
    <w:rsid w:val="000649E5"/>
    <w:rsid w:val="000675ED"/>
    <w:rsid w:val="0006771F"/>
    <w:rsid w:val="0006774F"/>
    <w:rsid w:val="000678C6"/>
    <w:rsid w:val="00067EA9"/>
    <w:rsid w:val="0007009C"/>
    <w:rsid w:val="00070281"/>
    <w:rsid w:val="000703B1"/>
    <w:rsid w:val="00070ABE"/>
    <w:rsid w:val="00071D2A"/>
    <w:rsid w:val="00072072"/>
    <w:rsid w:val="00072200"/>
    <w:rsid w:val="00072480"/>
    <w:rsid w:val="00073537"/>
    <w:rsid w:val="00073BE6"/>
    <w:rsid w:val="0007409D"/>
    <w:rsid w:val="0007415D"/>
    <w:rsid w:val="00074371"/>
    <w:rsid w:val="0007456C"/>
    <w:rsid w:val="00075714"/>
    <w:rsid w:val="00075991"/>
    <w:rsid w:val="00075B1B"/>
    <w:rsid w:val="00075C32"/>
    <w:rsid w:val="00076BA1"/>
    <w:rsid w:val="00076DAF"/>
    <w:rsid w:val="00077CCA"/>
    <w:rsid w:val="00080428"/>
    <w:rsid w:val="00080BBC"/>
    <w:rsid w:val="00080E2A"/>
    <w:rsid w:val="00080F48"/>
    <w:rsid w:val="00081C10"/>
    <w:rsid w:val="00081CB5"/>
    <w:rsid w:val="00082E41"/>
    <w:rsid w:val="0008419E"/>
    <w:rsid w:val="0008446C"/>
    <w:rsid w:val="00084532"/>
    <w:rsid w:val="00084566"/>
    <w:rsid w:val="000859FA"/>
    <w:rsid w:val="00085A1F"/>
    <w:rsid w:val="000862EA"/>
    <w:rsid w:val="00087265"/>
    <w:rsid w:val="000874CD"/>
    <w:rsid w:val="00087E38"/>
    <w:rsid w:val="000903A8"/>
    <w:rsid w:val="000908BB"/>
    <w:rsid w:val="00091395"/>
    <w:rsid w:val="00091F8C"/>
    <w:rsid w:val="000934BE"/>
    <w:rsid w:val="00093CCF"/>
    <w:rsid w:val="00094294"/>
    <w:rsid w:val="000950D4"/>
    <w:rsid w:val="0009597A"/>
    <w:rsid w:val="00097688"/>
    <w:rsid w:val="00097BDA"/>
    <w:rsid w:val="000A0785"/>
    <w:rsid w:val="000A14CF"/>
    <w:rsid w:val="000A19C3"/>
    <w:rsid w:val="000A25A7"/>
    <w:rsid w:val="000A27A7"/>
    <w:rsid w:val="000A2E16"/>
    <w:rsid w:val="000A3FBA"/>
    <w:rsid w:val="000A4197"/>
    <w:rsid w:val="000A4E50"/>
    <w:rsid w:val="000A4E57"/>
    <w:rsid w:val="000A543F"/>
    <w:rsid w:val="000A5DA8"/>
    <w:rsid w:val="000A5FBE"/>
    <w:rsid w:val="000A6593"/>
    <w:rsid w:val="000B095E"/>
    <w:rsid w:val="000B1E3C"/>
    <w:rsid w:val="000B1F19"/>
    <w:rsid w:val="000B348D"/>
    <w:rsid w:val="000B3ADE"/>
    <w:rsid w:val="000B5591"/>
    <w:rsid w:val="000B5D40"/>
    <w:rsid w:val="000B6CBE"/>
    <w:rsid w:val="000B7174"/>
    <w:rsid w:val="000B72EC"/>
    <w:rsid w:val="000C0547"/>
    <w:rsid w:val="000C0E9E"/>
    <w:rsid w:val="000C1AED"/>
    <w:rsid w:val="000C21AC"/>
    <w:rsid w:val="000C221F"/>
    <w:rsid w:val="000C2AAD"/>
    <w:rsid w:val="000C2B75"/>
    <w:rsid w:val="000C2F65"/>
    <w:rsid w:val="000C2FA3"/>
    <w:rsid w:val="000C3A99"/>
    <w:rsid w:val="000C5335"/>
    <w:rsid w:val="000C6948"/>
    <w:rsid w:val="000C6DC1"/>
    <w:rsid w:val="000C6F0A"/>
    <w:rsid w:val="000C7650"/>
    <w:rsid w:val="000D09F7"/>
    <w:rsid w:val="000D0AD5"/>
    <w:rsid w:val="000D1089"/>
    <w:rsid w:val="000D1B9E"/>
    <w:rsid w:val="000D1EBB"/>
    <w:rsid w:val="000D2086"/>
    <w:rsid w:val="000D2137"/>
    <w:rsid w:val="000D21A4"/>
    <w:rsid w:val="000D392E"/>
    <w:rsid w:val="000D4176"/>
    <w:rsid w:val="000D6225"/>
    <w:rsid w:val="000D624E"/>
    <w:rsid w:val="000D69E3"/>
    <w:rsid w:val="000D728C"/>
    <w:rsid w:val="000D7E6F"/>
    <w:rsid w:val="000E022A"/>
    <w:rsid w:val="000E064A"/>
    <w:rsid w:val="000E08A7"/>
    <w:rsid w:val="000E116A"/>
    <w:rsid w:val="000E18CE"/>
    <w:rsid w:val="000E2107"/>
    <w:rsid w:val="000E2388"/>
    <w:rsid w:val="000E23F8"/>
    <w:rsid w:val="000E26E2"/>
    <w:rsid w:val="000E3ED9"/>
    <w:rsid w:val="000E40F3"/>
    <w:rsid w:val="000E44E7"/>
    <w:rsid w:val="000E4F76"/>
    <w:rsid w:val="000E5081"/>
    <w:rsid w:val="000E5467"/>
    <w:rsid w:val="000E5636"/>
    <w:rsid w:val="000E56E6"/>
    <w:rsid w:val="000E602F"/>
    <w:rsid w:val="000E6103"/>
    <w:rsid w:val="000E7118"/>
    <w:rsid w:val="000F069C"/>
    <w:rsid w:val="000F0EDB"/>
    <w:rsid w:val="000F19B2"/>
    <w:rsid w:val="000F1F82"/>
    <w:rsid w:val="000F233B"/>
    <w:rsid w:val="000F3365"/>
    <w:rsid w:val="000F4066"/>
    <w:rsid w:val="000F447C"/>
    <w:rsid w:val="000F49AC"/>
    <w:rsid w:val="000F4BD7"/>
    <w:rsid w:val="000F4E77"/>
    <w:rsid w:val="000F4FE1"/>
    <w:rsid w:val="000F5025"/>
    <w:rsid w:val="000F62C9"/>
    <w:rsid w:val="000F657D"/>
    <w:rsid w:val="000F7FC3"/>
    <w:rsid w:val="001001E1"/>
    <w:rsid w:val="0010128D"/>
    <w:rsid w:val="001016CC"/>
    <w:rsid w:val="00101963"/>
    <w:rsid w:val="00101E27"/>
    <w:rsid w:val="00102520"/>
    <w:rsid w:val="00102906"/>
    <w:rsid w:val="00102D7F"/>
    <w:rsid w:val="00102FA5"/>
    <w:rsid w:val="00104033"/>
    <w:rsid w:val="0010436B"/>
    <w:rsid w:val="00105092"/>
    <w:rsid w:val="0010550B"/>
    <w:rsid w:val="001059DF"/>
    <w:rsid w:val="0010616E"/>
    <w:rsid w:val="00106C0A"/>
    <w:rsid w:val="001076B2"/>
    <w:rsid w:val="00107BEB"/>
    <w:rsid w:val="001103AB"/>
    <w:rsid w:val="00111235"/>
    <w:rsid w:val="0011123C"/>
    <w:rsid w:val="0011139D"/>
    <w:rsid w:val="00111AD9"/>
    <w:rsid w:val="0011214A"/>
    <w:rsid w:val="001128F6"/>
    <w:rsid w:val="0011467E"/>
    <w:rsid w:val="00114E57"/>
    <w:rsid w:val="0011534E"/>
    <w:rsid w:val="00115503"/>
    <w:rsid w:val="001155BB"/>
    <w:rsid w:val="001166F7"/>
    <w:rsid w:val="00116A0A"/>
    <w:rsid w:val="00116CC3"/>
    <w:rsid w:val="00116E2C"/>
    <w:rsid w:val="001178AA"/>
    <w:rsid w:val="00117E89"/>
    <w:rsid w:val="00117F02"/>
    <w:rsid w:val="0012033A"/>
    <w:rsid w:val="00120416"/>
    <w:rsid w:val="001214F9"/>
    <w:rsid w:val="00121AC4"/>
    <w:rsid w:val="00121ED2"/>
    <w:rsid w:val="00122A3D"/>
    <w:rsid w:val="00122CB3"/>
    <w:rsid w:val="001232DE"/>
    <w:rsid w:val="00124F89"/>
    <w:rsid w:val="001250A2"/>
    <w:rsid w:val="001275BF"/>
    <w:rsid w:val="001276AC"/>
    <w:rsid w:val="00127B79"/>
    <w:rsid w:val="001304A1"/>
    <w:rsid w:val="00130921"/>
    <w:rsid w:val="00130D24"/>
    <w:rsid w:val="00131117"/>
    <w:rsid w:val="001311BD"/>
    <w:rsid w:val="00131461"/>
    <w:rsid w:val="00131C40"/>
    <w:rsid w:val="001345B8"/>
    <w:rsid w:val="00134F92"/>
    <w:rsid w:val="001351EF"/>
    <w:rsid w:val="00135341"/>
    <w:rsid w:val="00135673"/>
    <w:rsid w:val="001363F6"/>
    <w:rsid w:val="00136FC0"/>
    <w:rsid w:val="0014086C"/>
    <w:rsid w:val="00140A5B"/>
    <w:rsid w:val="00140E21"/>
    <w:rsid w:val="001421EB"/>
    <w:rsid w:val="0014221C"/>
    <w:rsid w:val="001426FC"/>
    <w:rsid w:val="00144432"/>
    <w:rsid w:val="00145DFD"/>
    <w:rsid w:val="001462B1"/>
    <w:rsid w:val="00146667"/>
    <w:rsid w:val="001470A0"/>
    <w:rsid w:val="001479D6"/>
    <w:rsid w:val="00147E64"/>
    <w:rsid w:val="0015151D"/>
    <w:rsid w:val="00152BD9"/>
    <w:rsid w:val="00153527"/>
    <w:rsid w:val="00153CF4"/>
    <w:rsid w:val="001541EC"/>
    <w:rsid w:val="0015446D"/>
    <w:rsid w:val="00154ABB"/>
    <w:rsid w:val="00155268"/>
    <w:rsid w:val="001562B4"/>
    <w:rsid w:val="001566F2"/>
    <w:rsid w:val="001603DE"/>
    <w:rsid w:val="00161674"/>
    <w:rsid w:val="00162091"/>
    <w:rsid w:val="00162316"/>
    <w:rsid w:val="00162BDA"/>
    <w:rsid w:val="00163451"/>
    <w:rsid w:val="0016350C"/>
    <w:rsid w:val="0016356A"/>
    <w:rsid w:val="00163F8E"/>
    <w:rsid w:val="00164FFA"/>
    <w:rsid w:val="0016554F"/>
    <w:rsid w:val="00166274"/>
    <w:rsid w:val="00170487"/>
    <w:rsid w:val="00170C00"/>
    <w:rsid w:val="001717CF"/>
    <w:rsid w:val="0017278E"/>
    <w:rsid w:val="001727FC"/>
    <w:rsid w:val="00172A27"/>
    <w:rsid w:val="00173692"/>
    <w:rsid w:val="001744CF"/>
    <w:rsid w:val="001766BB"/>
    <w:rsid w:val="00177C38"/>
    <w:rsid w:val="001800FC"/>
    <w:rsid w:val="0018021E"/>
    <w:rsid w:val="001802F6"/>
    <w:rsid w:val="001815DC"/>
    <w:rsid w:val="00184284"/>
    <w:rsid w:val="00184CB8"/>
    <w:rsid w:val="001858BE"/>
    <w:rsid w:val="00185B78"/>
    <w:rsid w:val="00185BA6"/>
    <w:rsid w:val="00186148"/>
    <w:rsid w:val="00186411"/>
    <w:rsid w:val="0018641B"/>
    <w:rsid w:val="00186495"/>
    <w:rsid w:val="001868E7"/>
    <w:rsid w:val="00186A56"/>
    <w:rsid w:val="00187AC7"/>
    <w:rsid w:val="00190833"/>
    <w:rsid w:val="00191596"/>
    <w:rsid w:val="00191714"/>
    <w:rsid w:val="0019175F"/>
    <w:rsid w:val="00192244"/>
    <w:rsid w:val="001925B8"/>
    <w:rsid w:val="00192860"/>
    <w:rsid w:val="00192CC9"/>
    <w:rsid w:val="0019371E"/>
    <w:rsid w:val="00194C61"/>
    <w:rsid w:val="0019579D"/>
    <w:rsid w:val="001963FD"/>
    <w:rsid w:val="00197F55"/>
    <w:rsid w:val="001A060D"/>
    <w:rsid w:val="001A0E26"/>
    <w:rsid w:val="001A11AF"/>
    <w:rsid w:val="001A1905"/>
    <w:rsid w:val="001A1A69"/>
    <w:rsid w:val="001A1E66"/>
    <w:rsid w:val="001A2AB9"/>
    <w:rsid w:val="001A2E40"/>
    <w:rsid w:val="001A43A4"/>
    <w:rsid w:val="001A5ECC"/>
    <w:rsid w:val="001A79B0"/>
    <w:rsid w:val="001A7A26"/>
    <w:rsid w:val="001B0666"/>
    <w:rsid w:val="001B1702"/>
    <w:rsid w:val="001B20B3"/>
    <w:rsid w:val="001B2492"/>
    <w:rsid w:val="001B3B92"/>
    <w:rsid w:val="001B405C"/>
    <w:rsid w:val="001B4CC9"/>
    <w:rsid w:val="001B5201"/>
    <w:rsid w:val="001B5808"/>
    <w:rsid w:val="001B641F"/>
    <w:rsid w:val="001B6C11"/>
    <w:rsid w:val="001B6F53"/>
    <w:rsid w:val="001B7228"/>
    <w:rsid w:val="001B7F60"/>
    <w:rsid w:val="001C044B"/>
    <w:rsid w:val="001C0512"/>
    <w:rsid w:val="001C0680"/>
    <w:rsid w:val="001C08FD"/>
    <w:rsid w:val="001C0E3C"/>
    <w:rsid w:val="001C22C4"/>
    <w:rsid w:val="001C23C4"/>
    <w:rsid w:val="001C3B9D"/>
    <w:rsid w:val="001C4214"/>
    <w:rsid w:val="001C6726"/>
    <w:rsid w:val="001C688E"/>
    <w:rsid w:val="001C6981"/>
    <w:rsid w:val="001C6A63"/>
    <w:rsid w:val="001C6D47"/>
    <w:rsid w:val="001D1431"/>
    <w:rsid w:val="001D14EC"/>
    <w:rsid w:val="001D1B6F"/>
    <w:rsid w:val="001D2014"/>
    <w:rsid w:val="001D25D7"/>
    <w:rsid w:val="001D2FD0"/>
    <w:rsid w:val="001D35B6"/>
    <w:rsid w:val="001D3F47"/>
    <w:rsid w:val="001D44CA"/>
    <w:rsid w:val="001D4B32"/>
    <w:rsid w:val="001D4D5D"/>
    <w:rsid w:val="001D5B70"/>
    <w:rsid w:val="001D6389"/>
    <w:rsid w:val="001E26FD"/>
    <w:rsid w:val="001E3DA0"/>
    <w:rsid w:val="001E52E2"/>
    <w:rsid w:val="001E5E2E"/>
    <w:rsid w:val="001E616B"/>
    <w:rsid w:val="001E6F90"/>
    <w:rsid w:val="001E70CD"/>
    <w:rsid w:val="001E71F7"/>
    <w:rsid w:val="001E774B"/>
    <w:rsid w:val="001F073B"/>
    <w:rsid w:val="001F0996"/>
    <w:rsid w:val="001F0F44"/>
    <w:rsid w:val="001F1BCA"/>
    <w:rsid w:val="001F204C"/>
    <w:rsid w:val="001F23F4"/>
    <w:rsid w:val="001F2B01"/>
    <w:rsid w:val="001F2B2F"/>
    <w:rsid w:val="001F4012"/>
    <w:rsid w:val="001F4514"/>
    <w:rsid w:val="001F4E75"/>
    <w:rsid w:val="001F5134"/>
    <w:rsid w:val="001F7A9E"/>
    <w:rsid w:val="002005EA"/>
    <w:rsid w:val="00200E6C"/>
    <w:rsid w:val="002015DE"/>
    <w:rsid w:val="00201BFF"/>
    <w:rsid w:val="00202D8B"/>
    <w:rsid w:val="0020497B"/>
    <w:rsid w:val="00205DD7"/>
    <w:rsid w:val="002066AA"/>
    <w:rsid w:val="00206A31"/>
    <w:rsid w:val="00206DA7"/>
    <w:rsid w:val="00207056"/>
    <w:rsid w:val="002071C9"/>
    <w:rsid w:val="002079D8"/>
    <w:rsid w:val="002079E9"/>
    <w:rsid w:val="00211065"/>
    <w:rsid w:val="00211484"/>
    <w:rsid w:val="00212417"/>
    <w:rsid w:val="00212E87"/>
    <w:rsid w:val="00214449"/>
    <w:rsid w:val="00214831"/>
    <w:rsid w:val="00214860"/>
    <w:rsid w:val="002156EC"/>
    <w:rsid w:val="002166BA"/>
    <w:rsid w:val="00216739"/>
    <w:rsid w:val="00217411"/>
    <w:rsid w:val="00217B0D"/>
    <w:rsid w:val="00220069"/>
    <w:rsid w:val="00220DCA"/>
    <w:rsid w:val="00221542"/>
    <w:rsid w:val="00221B24"/>
    <w:rsid w:val="00221F82"/>
    <w:rsid w:val="002239F6"/>
    <w:rsid w:val="00223B0B"/>
    <w:rsid w:val="00223E3B"/>
    <w:rsid w:val="00225172"/>
    <w:rsid w:val="002251B8"/>
    <w:rsid w:val="00225B71"/>
    <w:rsid w:val="0022657C"/>
    <w:rsid w:val="00226B2B"/>
    <w:rsid w:val="00227632"/>
    <w:rsid w:val="00227C49"/>
    <w:rsid w:val="00230444"/>
    <w:rsid w:val="0023058A"/>
    <w:rsid w:val="00230E83"/>
    <w:rsid w:val="0023255D"/>
    <w:rsid w:val="00232D23"/>
    <w:rsid w:val="00233990"/>
    <w:rsid w:val="00233B4F"/>
    <w:rsid w:val="00233FF0"/>
    <w:rsid w:val="00234E8A"/>
    <w:rsid w:val="002357D5"/>
    <w:rsid w:val="00236331"/>
    <w:rsid w:val="002368AF"/>
    <w:rsid w:val="00237549"/>
    <w:rsid w:val="00240391"/>
    <w:rsid w:val="00240837"/>
    <w:rsid w:val="002409D5"/>
    <w:rsid w:val="00240B20"/>
    <w:rsid w:val="0024161E"/>
    <w:rsid w:val="00243446"/>
    <w:rsid w:val="00243CD8"/>
    <w:rsid w:val="00244EA2"/>
    <w:rsid w:val="00246285"/>
    <w:rsid w:val="00246922"/>
    <w:rsid w:val="0024754F"/>
    <w:rsid w:val="0024774E"/>
    <w:rsid w:val="00247929"/>
    <w:rsid w:val="00251010"/>
    <w:rsid w:val="00251D72"/>
    <w:rsid w:val="0025216D"/>
    <w:rsid w:val="002526A3"/>
    <w:rsid w:val="00253018"/>
    <w:rsid w:val="00253914"/>
    <w:rsid w:val="00253E91"/>
    <w:rsid w:val="00253FE0"/>
    <w:rsid w:val="00253FEF"/>
    <w:rsid w:val="00254927"/>
    <w:rsid w:val="00255427"/>
    <w:rsid w:val="00255BC7"/>
    <w:rsid w:val="00255D9B"/>
    <w:rsid w:val="00256A49"/>
    <w:rsid w:val="002617D2"/>
    <w:rsid w:val="0026198F"/>
    <w:rsid w:val="00262A04"/>
    <w:rsid w:val="00262E83"/>
    <w:rsid w:val="0026309B"/>
    <w:rsid w:val="002635AE"/>
    <w:rsid w:val="00266E48"/>
    <w:rsid w:val="00270004"/>
    <w:rsid w:val="00271A18"/>
    <w:rsid w:val="00272996"/>
    <w:rsid w:val="00272DBF"/>
    <w:rsid w:val="00273490"/>
    <w:rsid w:val="00275F0F"/>
    <w:rsid w:val="00276DF8"/>
    <w:rsid w:val="00276FF3"/>
    <w:rsid w:val="00277529"/>
    <w:rsid w:val="00277AFB"/>
    <w:rsid w:val="0028140F"/>
    <w:rsid w:val="00281D97"/>
    <w:rsid w:val="00283070"/>
    <w:rsid w:val="00283DB5"/>
    <w:rsid w:val="0028420C"/>
    <w:rsid w:val="00284239"/>
    <w:rsid w:val="002852EE"/>
    <w:rsid w:val="00285D78"/>
    <w:rsid w:val="002872A9"/>
    <w:rsid w:val="002927D5"/>
    <w:rsid w:val="00293805"/>
    <w:rsid w:val="00294614"/>
    <w:rsid w:val="0029478C"/>
    <w:rsid w:val="002948A2"/>
    <w:rsid w:val="00294BC5"/>
    <w:rsid w:val="00294F5B"/>
    <w:rsid w:val="002958ED"/>
    <w:rsid w:val="00296707"/>
    <w:rsid w:val="00296FE6"/>
    <w:rsid w:val="00297689"/>
    <w:rsid w:val="002977E4"/>
    <w:rsid w:val="00297B74"/>
    <w:rsid w:val="00297E5D"/>
    <w:rsid w:val="002A04CC"/>
    <w:rsid w:val="002A0920"/>
    <w:rsid w:val="002A1E42"/>
    <w:rsid w:val="002A3581"/>
    <w:rsid w:val="002A35FB"/>
    <w:rsid w:val="002A3BF7"/>
    <w:rsid w:val="002A3E47"/>
    <w:rsid w:val="002A3EA8"/>
    <w:rsid w:val="002A4E45"/>
    <w:rsid w:val="002A4EE0"/>
    <w:rsid w:val="002A58C1"/>
    <w:rsid w:val="002A59F3"/>
    <w:rsid w:val="002A5AF0"/>
    <w:rsid w:val="002A7237"/>
    <w:rsid w:val="002A790C"/>
    <w:rsid w:val="002B0370"/>
    <w:rsid w:val="002B061C"/>
    <w:rsid w:val="002B0623"/>
    <w:rsid w:val="002B0A9F"/>
    <w:rsid w:val="002B10DF"/>
    <w:rsid w:val="002B16D5"/>
    <w:rsid w:val="002B1CBF"/>
    <w:rsid w:val="002B1F1C"/>
    <w:rsid w:val="002B2CE4"/>
    <w:rsid w:val="002B2FB2"/>
    <w:rsid w:val="002B41E4"/>
    <w:rsid w:val="002B43E4"/>
    <w:rsid w:val="002B4DE8"/>
    <w:rsid w:val="002B5E9F"/>
    <w:rsid w:val="002B605D"/>
    <w:rsid w:val="002B6612"/>
    <w:rsid w:val="002B726A"/>
    <w:rsid w:val="002B73CD"/>
    <w:rsid w:val="002B7D2F"/>
    <w:rsid w:val="002B7F9B"/>
    <w:rsid w:val="002C000B"/>
    <w:rsid w:val="002C0204"/>
    <w:rsid w:val="002C0278"/>
    <w:rsid w:val="002C1219"/>
    <w:rsid w:val="002C2291"/>
    <w:rsid w:val="002C27B7"/>
    <w:rsid w:val="002C2E89"/>
    <w:rsid w:val="002C44F2"/>
    <w:rsid w:val="002C5001"/>
    <w:rsid w:val="002C5AE6"/>
    <w:rsid w:val="002C762A"/>
    <w:rsid w:val="002D0862"/>
    <w:rsid w:val="002D0ADB"/>
    <w:rsid w:val="002D15E0"/>
    <w:rsid w:val="002D162A"/>
    <w:rsid w:val="002D202E"/>
    <w:rsid w:val="002D22F8"/>
    <w:rsid w:val="002D37C4"/>
    <w:rsid w:val="002D41B1"/>
    <w:rsid w:val="002D52F6"/>
    <w:rsid w:val="002D5831"/>
    <w:rsid w:val="002D716C"/>
    <w:rsid w:val="002E192F"/>
    <w:rsid w:val="002E2D0E"/>
    <w:rsid w:val="002E36AD"/>
    <w:rsid w:val="002E64F6"/>
    <w:rsid w:val="002E7334"/>
    <w:rsid w:val="002F0ACF"/>
    <w:rsid w:val="002F0F13"/>
    <w:rsid w:val="002F0FE7"/>
    <w:rsid w:val="002F336B"/>
    <w:rsid w:val="002F35B6"/>
    <w:rsid w:val="002F36A1"/>
    <w:rsid w:val="002F3B1D"/>
    <w:rsid w:val="002F440D"/>
    <w:rsid w:val="002F6935"/>
    <w:rsid w:val="002F6C51"/>
    <w:rsid w:val="002F7178"/>
    <w:rsid w:val="00300CDC"/>
    <w:rsid w:val="00300EF5"/>
    <w:rsid w:val="00300FDF"/>
    <w:rsid w:val="003016F9"/>
    <w:rsid w:val="00301712"/>
    <w:rsid w:val="00302E9C"/>
    <w:rsid w:val="00303F9A"/>
    <w:rsid w:val="00304647"/>
    <w:rsid w:val="003053E6"/>
    <w:rsid w:val="00305D16"/>
    <w:rsid w:val="00305F6D"/>
    <w:rsid w:val="003071E1"/>
    <w:rsid w:val="00307675"/>
    <w:rsid w:val="00307BB7"/>
    <w:rsid w:val="00307F36"/>
    <w:rsid w:val="00310580"/>
    <w:rsid w:val="003122FB"/>
    <w:rsid w:val="0031245F"/>
    <w:rsid w:val="00312935"/>
    <w:rsid w:val="00312BB8"/>
    <w:rsid w:val="00312D9D"/>
    <w:rsid w:val="00312E6E"/>
    <w:rsid w:val="00312EE4"/>
    <w:rsid w:val="0031332D"/>
    <w:rsid w:val="00313988"/>
    <w:rsid w:val="00313B4E"/>
    <w:rsid w:val="00314044"/>
    <w:rsid w:val="003147C5"/>
    <w:rsid w:val="00314B7C"/>
    <w:rsid w:val="00314DDD"/>
    <w:rsid w:val="00314ED1"/>
    <w:rsid w:val="00314F43"/>
    <w:rsid w:val="00315087"/>
    <w:rsid w:val="003151A8"/>
    <w:rsid w:val="00316819"/>
    <w:rsid w:val="00317624"/>
    <w:rsid w:val="00317653"/>
    <w:rsid w:val="00321635"/>
    <w:rsid w:val="00321C56"/>
    <w:rsid w:val="00321DC2"/>
    <w:rsid w:val="00322176"/>
    <w:rsid w:val="00322268"/>
    <w:rsid w:val="00325CA6"/>
    <w:rsid w:val="00326B4F"/>
    <w:rsid w:val="00326D5D"/>
    <w:rsid w:val="0032746A"/>
    <w:rsid w:val="0032785A"/>
    <w:rsid w:val="00330E49"/>
    <w:rsid w:val="00330F85"/>
    <w:rsid w:val="00331090"/>
    <w:rsid w:val="00332340"/>
    <w:rsid w:val="00332FAD"/>
    <w:rsid w:val="00333772"/>
    <w:rsid w:val="00333C6F"/>
    <w:rsid w:val="00333F07"/>
    <w:rsid w:val="00333F9A"/>
    <w:rsid w:val="0033470D"/>
    <w:rsid w:val="00336699"/>
    <w:rsid w:val="00336A8A"/>
    <w:rsid w:val="00336FCD"/>
    <w:rsid w:val="003372CF"/>
    <w:rsid w:val="00337E6B"/>
    <w:rsid w:val="003406CD"/>
    <w:rsid w:val="00341B68"/>
    <w:rsid w:val="00342599"/>
    <w:rsid w:val="00342EE4"/>
    <w:rsid w:val="0034390E"/>
    <w:rsid w:val="00344AB3"/>
    <w:rsid w:val="00344FD1"/>
    <w:rsid w:val="00345A61"/>
    <w:rsid w:val="00345A7A"/>
    <w:rsid w:val="00345E5B"/>
    <w:rsid w:val="00346E60"/>
    <w:rsid w:val="00346E6A"/>
    <w:rsid w:val="0034790E"/>
    <w:rsid w:val="0035067B"/>
    <w:rsid w:val="00350995"/>
    <w:rsid w:val="00350B86"/>
    <w:rsid w:val="003513E8"/>
    <w:rsid w:val="00352950"/>
    <w:rsid w:val="00353BEB"/>
    <w:rsid w:val="003541EF"/>
    <w:rsid w:val="00354F29"/>
    <w:rsid w:val="00355653"/>
    <w:rsid w:val="00355E59"/>
    <w:rsid w:val="0035613F"/>
    <w:rsid w:val="00356418"/>
    <w:rsid w:val="003571CB"/>
    <w:rsid w:val="00362781"/>
    <w:rsid w:val="0036368C"/>
    <w:rsid w:val="00363828"/>
    <w:rsid w:val="003644F5"/>
    <w:rsid w:val="00364D05"/>
    <w:rsid w:val="003708EE"/>
    <w:rsid w:val="00370AB3"/>
    <w:rsid w:val="00370CF9"/>
    <w:rsid w:val="0037138B"/>
    <w:rsid w:val="00371650"/>
    <w:rsid w:val="00371BDC"/>
    <w:rsid w:val="00371DAD"/>
    <w:rsid w:val="00373B25"/>
    <w:rsid w:val="00373C19"/>
    <w:rsid w:val="00373C6B"/>
    <w:rsid w:val="00373E50"/>
    <w:rsid w:val="00373F20"/>
    <w:rsid w:val="00374566"/>
    <w:rsid w:val="00374B42"/>
    <w:rsid w:val="0037609F"/>
    <w:rsid w:val="003761F2"/>
    <w:rsid w:val="0037644D"/>
    <w:rsid w:val="0037674E"/>
    <w:rsid w:val="00376AC3"/>
    <w:rsid w:val="003770AB"/>
    <w:rsid w:val="00377519"/>
    <w:rsid w:val="00377CEF"/>
    <w:rsid w:val="0038073B"/>
    <w:rsid w:val="00380DB4"/>
    <w:rsid w:val="0038290E"/>
    <w:rsid w:val="00382D7E"/>
    <w:rsid w:val="00383135"/>
    <w:rsid w:val="00383881"/>
    <w:rsid w:val="00384791"/>
    <w:rsid w:val="00384D26"/>
    <w:rsid w:val="00385AFB"/>
    <w:rsid w:val="003864A8"/>
    <w:rsid w:val="00386BAD"/>
    <w:rsid w:val="00390041"/>
    <w:rsid w:val="00390AD5"/>
    <w:rsid w:val="00390F45"/>
    <w:rsid w:val="00391231"/>
    <w:rsid w:val="003916C3"/>
    <w:rsid w:val="00392987"/>
    <w:rsid w:val="00392D30"/>
    <w:rsid w:val="0039307D"/>
    <w:rsid w:val="00396DC8"/>
    <w:rsid w:val="0039716E"/>
    <w:rsid w:val="00397454"/>
    <w:rsid w:val="003A05CF"/>
    <w:rsid w:val="003A1223"/>
    <w:rsid w:val="003A15BF"/>
    <w:rsid w:val="003A2272"/>
    <w:rsid w:val="003A2420"/>
    <w:rsid w:val="003A3679"/>
    <w:rsid w:val="003A5FEE"/>
    <w:rsid w:val="003A6FCA"/>
    <w:rsid w:val="003A751E"/>
    <w:rsid w:val="003A77DC"/>
    <w:rsid w:val="003B056D"/>
    <w:rsid w:val="003B093D"/>
    <w:rsid w:val="003B186C"/>
    <w:rsid w:val="003B1F8A"/>
    <w:rsid w:val="003B21D7"/>
    <w:rsid w:val="003B2B0B"/>
    <w:rsid w:val="003B3F7E"/>
    <w:rsid w:val="003B4A48"/>
    <w:rsid w:val="003B5E53"/>
    <w:rsid w:val="003B7493"/>
    <w:rsid w:val="003B7896"/>
    <w:rsid w:val="003C0104"/>
    <w:rsid w:val="003C0599"/>
    <w:rsid w:val="003C07CE"/>
    <w:rsid w:val="003C0FEC"/>
    <w:rsid w:val="003C1065"/>
    <w:rsid w:val="003C265D"/>
    <w:rsid w:val="003C3494"/>
    <w:rsid w:val="003C3D0C"/>
    <w:rsid w:val="003C428F"/>
    <w:rsid w:val="003C4951"/>
    <w:rsid w:val="003C56BF"/>
    <w:rsid w:val="003C56ED"/>
    <w:rsid w:val="003C5DEC"/>
    <w:rsid w:val="003C60B0"/>
    <w:rsid w:val="003C6962"/>
    <w:rsid w:val="003C72DF"/>
    <w:rsid w:val="003D06A8"/>
    <w:rsid w:val="003D0BFA"/>
    <w:rsid w:val="003D16AA"/>
    <w:rsid w:val="003D185A"/>
    <w:rsid w:val="003D219A"/>
    <w:rsid w:val="003D220A"/>
    <w:rsid w:val="003D2778"/>
    <w:rsid w:val="003D2EAA"/>
    <w:rsid w:val="003D37BC"/>
    <w:rsid w:val="003D41B9"/>
    <w:rsid w:val="003D5727"/>
    <w:rsid w:val="003D57C2"/>
    <w:rsid w:val="003D7128"/>
    <w:rsid w:val="003E09EF"/>
    <w:rsid w:val="003E148B"/>
    <w:rsid w:val="003E3B6E"/>
    <w:rsid w:val="003E425C"/>
    <w:rsid w:val="003E4809"/>
    <w:rsid w:val="003E4833"/>
    <w:rsid w:val="003E4CE9"/>
    <w:rsid w:val="003E54EE"/>
    <w:rsid w:val="003E5538"/>
    <w:rsid w:val="003E5786"/>
    <w:rsid w:val="003E7346"/>
    <w:rsid w:val="003E7912"/>
    <w:rsid w:val="003F03FD"/>
    <w:rsid w:val="003F0ECA"/>
    <w:rsid w:val="003F1124"/>
    <w:rsid w:val="003F14B7"/>
    <w:rsid w:val="003F3B7C"/>
    <w:rsid w:val="003F4E58"/>
    <w:rsid w:val="003F5E37"/>
    <w:rsid w:val="003F7451"/>
    <w:rsid w:val="003F7469"/>
    <w:rsid w:val="003F797D"/>
    <w:rsid w:val="004008D0"/>
    <w:rsid w:val="00402057"/>
    <w:rsid w:val="00402472"/>
    <w:rsid w:val="004025B1"/>
    <w:rsid w:val="004046B4"/>
    <w:rsid w:val="004058F4"/>
    <w:rsid w:val="00405DBA"/>
    <w:rsid w:val="00406A73"/>
    <w:rsid w:val="00407D6C"/>
    <w:rsid w:val="00407E6E"/>
    <w:rsid w:val="0041178E"/>
    <w:rsid w:val="0041179F"/>
    <w:rsid w:val="00412831"/>
    <w:rsid w:val="00413874"/>
    <w:rsid w:val="00413C1D"/>
    <w:rsid w:val="00414ECE"/>
    <w:rsid w:val="00416A51"/>
    <w:rsid w:val="00417282"/>
    <w:rsid w:val="004173B2"/>
    <w:rsid w:val="00417838"/>
    <w:rsid w:val="00417E5D"/>
    <w:rsid w:val="0042072D"/>
    <w:rsid w:val="0042111E"/>
    <w:rsid w:val="00421127"/>
    <w:rsid w:val="004214A0"/>
    <w:rsid w:val="00421E2C"/>
    <w:rsid w:val="00422056"/>
    <w:rsid w:val="004222A2"/>
    <w:rsid w:val="00422F17"/>
    <w:rsid w:val="00423404"/>
    <w:rsid w:val="00423605"/>
    <w:rsid w:val="00423960"/>
    <w:rsid w:val="00424279"/>
    <w:rsid w:val="00424704"/>
    <w:rsid w:val="00424760"/>
    <w:rsid w:val="00424C38"/>
    <w:rsid w:val="00424D75"/>
    <w:rsid w:val="00425EAC"/>
    <w:rsid w:val="004262D7"/>
    <w:rsid w:val="00426B55"/>
    <w:rsid w:val="00426D4D"/>
    <w:rsid w:val="0042748C"/>
    <w:rsid w:val="00427F5F"/>
    <w:rsid w:val="0043135D"/>
    <w:rsid w:val="0043183B"/>
    <w:rsid w:val="00431AE2"/>
    <w:rsid w:val="00431AFA"/>
    <w:rsid w:val="00431B27"/>
    <w:rsid w:val="004327CF"/>
    <w:rsid w:val="0043374E"/>
    <w:rsid w:val="00433BD1"/>
    <w:rsid w:val="00436795"/>
    <w:rsid w:val="00437B11"/>
    <w:rsid w:val="004401D7"/>
    <w:rsid w:val="0044037B"/>
    <w:rsid w:val="00440F9D"/>
    <w:rsid w:val="004416AD"/>
    <w:rsid w:val="00441906"/>
    <w:rsid w:val="00441AD4"/>
    <w:rsid w:val="00441B31"/>
    <w:rsid w:val="00443624"/>
    <w:rsid w:val="00444511"/>
    <w:rsid w:val="00444B05"/>
    <w:rsid w:val="00444E2A"/>
    <w:rsid w:val="00444FC1"/>
    <w:rsid w:val="0044502D"/>
    <w:rsid w:val="004450B0"/>
    <w:rsid w:val="0044554B"/>
    <w:rsid w:val="0044674B"/>
    <w:rsid w:val="00446C38"/>
    <w:rsid w:val="00446E50"/>
    <w:rsid w:val="004470EA"/>
    <w:rsid w:val="004500BF"/>
    <w:rsid w:val="004500ED"/>
    <w:rsid w:val="00450AAD"/>
    <w:rsid w:val="00450B98"/>
    <w:rsid w:val="00450F6F"/>
    <w:rsid w:val="00451162"/>
    <w:rsid w:val="004517B0"/>
    <w:rsid w:val="004524BD"/>
    <w:rsid w:val="00452FAB"/>
    <w:rsid w:val="00453330"/>
    <w:rsid w:val="00453EAA"/>
    <w:rsid w:val="00454443"/>
    <w:rsid w:val="00455710"/>
    <w:rsid w:val="00455939"/>
    <w:rsid w:val="00457E79"/>
    <w:rsid w:val="0046197D"/>
    <w:rsid w:val="00461E32"/>
    <w:rsid w:val="004621AD"/>
    <w:rsid w:val="004623BB"/>
    <w:rsid w:val="004625F0"/>
    <w:rsid w:val="004631EC"/>
    <w:rsid w:val="004638B2"/>
    <w:rsid w:val="004642CC"/>
    <w:rsid w:val="00464548"/>
    <w:rsid w:val="004652E6"/>
    <w:rsid w:val="004653F2"/>
    <w:rsid w:val="0046604B"/>
    <w:rsid w:val="00466277"/>
    <w:rsid w:val="0046685F"/>
    <w:rsid w:val="00466C4F"/>
    <w:rsid w:val="00467313"/>
    <w:rsid w:val="00467B12"/>
    <w:rsid w:val="004705C7"/>
    <w:rsid w:val="0047102C"/>
    <w:rsid w:val="00471056"/>
    <w:rsid w:val="00472D96"/>
    <w:rsid w:val="00472EC5"/>
    <w:rsid w:val="00473FF5"/>
    <w:rsid w:val="0047530A"/>
    <w:rsid w:val="0047557D"/>
    <w:rsid w:val="004759FE"/>
    <w:rsid w:val="00475EE0"/>
    <w:rsid w:val="0047678C"/>
    <w:rsid w:val="00477DC8"/>
    <w:rsid w:val="0048081E"/>
    <w:rsid w:val="00480CF7"/>
    <w:rsid w:val="00481B84"/>
    <w:rsid w:val="004821B5"/>
    <w:rsid w:val="004826D4"/>
    <w:rsid w:val="00482C10"/>
    <w:rsid w:val="00485819"/>
    <w:rsid w:val="004860F5"/>
    <w:rsid w:val="00486B4A"/>
    <w:rsid w:val="00487665"/>
    <w:rsid w:val="00490178"/>
    <w:rsid w:val="00490464"/>
    <w:rsid w:val="0049117E"/>
    <w:rsid w:val="00491539"/>
    <w:rsid w:val="00491C8F"/>
    <w:rsid w:val="00492092"/>
    <w:rsid w:val="0049329D"/>
    <w:rsid w:val="004945DA"/>
    <w:rsid w:val="0049493B"/>
    <w:rsid w:val="00496E7B"/>
    <w:rsid w:val="00496ED5"/>
    <w:rsid w:val="004973ED"/>
    <w:rsid w:val="004A0320"/>
    <w:rsid w:val="004A0E37"/>
    <w:rsid w:val="004A221C"/>
    <w:rsid w:val="004A2F7D"/>
    <w:rsid w:val="004A367D"/>
    <w:rsid w:val="004A3D7C"/>
    <w:rsid w:val="004A43FD"/>
    <w:rsid w:val="004A4C0D"/>
    <w:rsid w:val="004A4C8A"/>
    <w:rsid w:val="004A55B0"/>
    <w:rsid w:val="004A64D3"/>
    <w:rsid w:val="004A6D87"/>
    <w:rsid w:val="004B032E"/>
    <w:rsid w:val="004B1B8C"/>
    <w:rsid w:val="004B1FC7"/>
    <w:rsid w:val="004B269E"/>
    <w:rsid w:val="004B26C3"/>
    <w:rsid w:val="004B2AF8"/>
    <w:rsid w:val="004B371C"/>
    <w:rsid w:val="004B4509"/>
    <w:rsid w:val="004B5123"/>
    <w:rsid w:val="004B5343"/>
    <w:rsid w:val="004B54AE"/>
    <w:rsid w:val="004B5567"/>
    <w:rsid w:val="004B603B"/>
    <w:rsid w:val="004B641F"/>
    <w:rsid w:val="004B649A"/>
    <w:rsid w:val="004B66B7"/>
    <w:rsid w:val="004B6C46"/>
    <w:rsid w:val="004B6CF8"/>
    <w:rsid w:val="004B6D29"/>
    <w:rsid w:val="004B79C2"/>
    <w:rsid w:val="004C0A47"/>
    <w:rsid w:val="004C0DD1"/>
    <w:rsid w:val="004C1E94"/>
    <w:rsid w:val="004C226F"/>
    <w:rsid w:val="004C2FB2"/>
    <w:rsid w:val="004C3C7A"/>
    <w:rsid w:val="004C3CF0"/>
    <w:rsid w:val="004C4F98"/>
    <w:rsid w:val="004C5F8E"/>
    <w:rsid w:val="004C66EC"/>
    <w:rsid w:val="004C6D6D"/>
    <w:rsid w:val="004C6DBF"/>
    <w:rsid w:val="004C7749"/>
    <w:rsid w:val="004C7A87"/>
    <w:rsid w:val="004C7FFC"/>
    <w:rsid w:val="004D062F"/>
    <w:rsid w:val="004D175B"/>
    <w:rsid w:val="004D246A"/>
    <w:rsid w:val="004D2E00"/>
    <w:rsid w:val="004D4CAA"/>
    <w:rsid w:val="004D4D7D"/>
    <w:rsid w:val="004D55B4"/>
    <w:rsid w:val="004D6E74"/>
    <w:rsid w:val="004D79B1"/>
    <w:rsid w:val="004D7B5C"/>
    <w:rsid w:val="004E2CD2"/>
    <w:rsid w:val="004E2CEE"/>
    <w:rsid w:val="004E2FC2"/>
    <w:rsid w:val="004E34F5"/>
    <w:rsid w:val="004E354B"/>
    <w:rsid w:val="004E4E07"/>
    <w:rsid w:val="004E508C"/>
    <w:rsid w:val="004E5697"/>
    <w:rsid w:val="004E6DFA"/>
    <w:rsid w:val="004E73A7"/>
    <w:rsid w:val="004F0948"/>
    <w:rsid w:val="004F0D42"/>
    <w:rsid w:val="004F0E8A"/>
    <w:rsid w:val="004F0E94"/>
    <w:rsid w:val="004F1151"/>
    <w:rsid w:val="004F123D"/>
    <w:rsid w:val="004F2775"/>
    <w:rsid w:val="004F2929"/>
    <w:rsid w:val="004F305C"/>
    <w:rsid w:val="004F331D"/>
    <w:rsid w:val="004F3541"/>
    <w:rsid w:val="004F3F7A"/>
    <w:rsid w:val="004F4970"/>
    <w:rsid w:val="004F4D56"/>
    <w:rsid w:val="004F4E0D"/>
    <w:rsid w:val="004F58C4"/>
    <w:rsid w:val="004F5A62"/>
    <w:rsid w:val="004F6000"/>
    <w:rsid w:val="004F72BE"/>
    <w:rsid w:val="004F7576"/>
    <w:rsid w:val="004F7CEB"/>
    <w:rsid w:val="004F7EC5"/>
    <w:rsid w:val="00500062"/>
    <w:rsid w:val="00500071"/>
    <w:rsid w:val="005008F8"/>
    <w:rsid w:val="0050091A"/>
    <w:rsid w:val="0050111E"/>
    <w:rsid w:val="005024E7"/>
    <w:rsid w:val="00502B42"/>
    <w:rsid w:val="0050322E"/>
    <w:rsid w:val="005032A4"/>
    <w:rsid w:val="00503B02"/>
    <w:rsid w:val="0050432B"/>
    <w:rsid w:val="005048F2"/>
    <w:rsid w:val="00504E65"/>
    <w:rsid w:val="00505378"/>
    <w:rsid w:val="00505AB8"/>
    <w:rsid w:val="00506ECB"/>
    <w:rsid w:val="00507108"/>
    <w:rsid w:val="005103D0"/>
    <w:rsid w:val="00510414"/>
    <w:rsid w:val="00510CD6"/>
    <w:rsid w:val="00511024"/>
    <w:rsid w:val="00511419"/>
    <w:rsid w:val="00511816"/>
    <w:rsid w:val="00511FDE"/>
    <w:rsid w:val="00512CF3"/>
    <w:rsid w:val="00513694"/>
    <w:rsid w:val="005149BA"/>
    <w:rsid w:val="00514E7D"/>
    <w:rsid w:val="00516DC8"/>
    <w:rsid w:val="00516F97"/>
    <w:rsid w:val="00521478"/>
    <w:rsid w:val="005218AF"/>
    <w:rsid w:val="00522181"/>
    <w:rsid w:val="00522D39"/>
    <w:rsid w:val="00523963"/>
    <w:rsid w:val="00523B62"/>
    <w:rsid w:val="00523D04"/>
    <w:rsid w:val="00523F38"/>
    <w:rsid w:val="0052434D"/>
    <w:rsid w:val="005243D6"/>
    <w:rsid w:val="00524D72"/>
    <w:rsid w:val="00524D81"/>
    <w:rsid w:val="00525ADE"/>
    <w:rsid w:val="00525C68"/>
    <w:rsid w:val="0052641A"/>
    <w:rsid w:val="00526A9C"/>
    <w:rsid w:val="00526ACC"/>
    <w:rsid w:val="00526D7C"/>
    <w:rsid w:val="00526E20"/>
    <w:rsid w:val="00530822"/>
    <w:rsid w:val="0053104D"/>
    <w:rsid w:val="00531E63"/>
    <w:rsid w:val="0053304A"/>
    <w:rsid w:val="0053547B"/>
    <w:rsid w:val="005367EA"/>
    <w:rsid w:val="00536A89"/>
    <w:rsid w:val="00536C51"/>
    <w:rsid w:val="00537945"/>
    <w:rsid w:val="00537DBA"/>
    <w:rsid w:val="005405A6"/>
    <w:rsid w:val="005418D0"/>
    <w:rsid w:val="00541F14"/>
    <w:rsid w:val="0054238A"/>
    <w:rsid w:val="00542436"/>
    <w:rsid w:val="00542D36"/>
    <w:rsid w:val="0054399E"/>
    <w:rsid w:val="00543EDC"/>
    <w:rsid w:val="00544A69"/>
    <w:rsid w:val="00545753"/>
    <w:rsid w:val="00545AB2"/>
    <w:rsid w:val="005463E8"/>
    <w:rsid w:val="005478BF"/>
    <w:rsid w:val="00551524"/>
    <w:rsid w:val="00552C03"/>
    <w:rsid w:val="00553A83"/>
    <w:rsid w:val="005545A8"/>
    <w:rsid w:val="0055460D"/>
    <w:rsid w:val="00555749"/>
    <w:rsid w:val="00555AC1"/>
    <w:rsid w:val="00556DC5"/>
    <w:rsid w:val="00556EBA"/>
    <w:rsid w:val="005573F5"/>
    <w:rsid w:val="005603B9"/>
    <w:rsid w:val="00560A7F"/>
    <w:rsid w:val="00561852"/>
    <w:rsid w:val="00561B98"/>
    <w:rsid w:val="00561D93"/>
    <w:rsid w:val="00561FC8"/>
    <w:rsid w:val="00562382"/>
    <w:rsid w:val="005638D7"/>
    <w:rsid w:val="00564758"/>
    <w:rsid w:val="005649A3"/>
    <w:rsid w:val="00564F52"/>
    <w:rsid w:val="00565AB0"/>
    <w:rsid w:val="00565FC7"/>
    <w:rsid w:val="0056664C"/>
    <w:rsid w:val="005669C5"/>
    <w:rsid w:val="00567268"/>
    <w:rsid w:val="0056769A"/>
    <w:rsid w:val="00567BC0"/>
    <w:rsid w:val="0057044D"/>
    <w:rsid w:val="00570A04"/>
    <w:rsid w:val="00570ADF"/>
    <w:rsid w:val="005710D7"/>
    <w:rsid w:val="00571C78"/>
    <w:rsid w:val="00572C01"/>
    <w:rsid w:val="00572FC4"/>
    <w:rsid w:val="005731EF"/>
    <w:rsid w:val="00573BAF"/>
    <w:rsid w:val="00574B25"/>
    <w:rsid w:val="00575481"/>
    <w:rsid w:val="005755C9"/>
    <w:rsid w:val="00575CA8"/>
    <w:rsid w:val="00577C3C"/>
    <w:rsid w:val="005800D9"/>
    <w:rsid w:val="005807EC"/>
    <w:rsid w:val="005810CA"/>
    <w:rsid w:val="0058188D"/>
    <w:rsid w:val="00582559"/>
    <w:rsid w:val="00582D74"/>
    <w:rsid w:val="00582DE0"/>
    <w:rsid w:val="00584B68"/>
    <w:rsid w:val="00586CE3"/>
    <w:rsid w:val="005875C8"/>
    <w:rsid w:val="005878BF"/>
    <w:rsid w:val="00587DB2"/>
    <w:rsid w:val="00592127"/>
    <w:rsid w:val="005924F1"/>
    <w:rsid w:val="0059309A"/>
    <w:rsid w:val="005943F5"/>
    <w:rsid w:val="005944CB"/>
    <w:rsid w:val="00594A6D"/>
    <w:rsid w:val="00595494"/>
    <w:rsid w:val="005956C4"/>
    <w:rsid w:val="005958EB"/>
    <w:rsid w:val="00596DCA"/>
    <w:rsid w:val="00596FE8"/>
    <w:rsid w:val="005975DC"/>
    <w:rsid w:val="005A03DE"/>
    <w:rsid w:val="005A0ECA"/>
    <w:rsid w:val="005A1063"/>
    <w:rsid w:val="005A12EE"/>
    <w:rsid w:val="005A16E7"/>
    <w:rsid w:val="005A16F7"/>
    <w:rsid w:val="005A2045"/>
    <w:rsid w:val="005A230A"/>
    <w:rsid w:val="005A2C86"/>
    <w:rsid w:val="005A2D96"/>
    <w:rsid w:val="005A4018"/>
    <w:rsid w:val="005A4895"/>
    <w:rsid w:val="005A5868"/>
    <w:rsid w:val="005A5B7F"/>
    <w:rsid w:val="005A7243"/>
    <w:rsid w:val="005A7437"/>
    <w:rsid w:val="005A7C92"/>
    <w:rsid w:val="005A7E60"/>
    <w:rsid w:val="005B0834"/>
    <w:rsid w:val="005B0D37"/>
    <w:rsid w:val="005B1EAF"/>
    <w:rsid w:val="005B26E7"/>
    <w:rsid w:val="005B4785"/>
    <w:rsid w:val="005B4EEF"/>
    <w:rsid w:val="005B5AED"/>
    <w:rsid w:val="005B769A"/>
    <w:rsid w:val="005B76EF"/>
    <w:rsid w:val="005B7CD2"/>
    <w:rsid w:val="005B7FC5"/>
    <w:rsid w:val="005C0A3F"/>
    <w:rsid w:val="005C0CE1"/>
    <w:rsid w:val="005C19B0"/>
    <w:rsid w:val="005C38A6"/>
    <w:rsid w:val="005C44C9"/>
    <w:rsid w:val="005C4C65"/>
    <w:rsid w:val="005C5AA1"/>
    <w:rsid w:val="005C5C44"/>
    <w:rsid w:val="005C603D"/>
    <w:rsid w:val="005C633C"/>
    <w:rsid w:val="005C63C7"/>
    <w:rsid w:val="005C70E0"/>
    <w:rsid w:val="005C73B0"/>
    <w:rsid w:val="005C7D80"/>
    <w:rsid w:val="005D0811"/>
    <w:rsid w:val="005D0C2D"/>
    <w:rsid w:val="005D167C"/>
    <w:rsid w:val="005D2568"/>
    <w:rsid w:val="005D3233"/>
    <w:rsid w:val="005D34C3"/>
    <w:rsid w:val="005D38FD"/>
    <w:rsid w:val="005D3F65"/>
    <w:rsid w:val="005D7592"/>
    <w:rsid w:val="005D7D11"/>
    <w:rsid w:val="005E061C"/>
    <w:rsid w:val="005E0790"/>
    <w:rsid w:val="005E162C"/>
    <w:rsid w:val="005E187F"/>
    <w:rsid w:val="005E1D44"/>
    <w:rsid w:val="005E29DD"/>
    <w:rsid w:val="005E2AC4"/>
    <w:rsid w:val="005E2F70"/>
    <w:rsid w:val="005E3015"/>
    <w:rsid w:val="005E35EA"/>
    <w:rsid w:val="005E3C5C"/>
    <w:rsid w:val="005E40EC"/>
    <w:rsid w:val="005E5B0E"/>
    <w:rsid w:val="005E6BC1"/>
    <w:rsid w:val="005E75E7"/>
    <w:rsid w:val="005E7E85"/>
    <w:rsid w:val="005F07DF"/>
    <w:rsid w:val="005F0DFF"/>
    <w:rsid w:val="005F11DA"/>
    <w:rsid w:val="005F125B"/>
    <w:rsid w:val="005F1531"/>
    <w:rsid w:val="005F18ED"/>
    <w:rsid w:val="005F1C24"/>
    <w:rsid w:val="005F2226"/>
    <w:rsid w:val="005F273D"/>
    <w:rsid w:val="005F3687"/>
    <w:rsid w:val="005F3B4C"/>
    <w:rsid w:val="005F3DD8"/>
    <w:rsid w:val="005F491F"/>
    <w:rsid w:val="005F4B4A"/>
    <w:rsid w:val="005F57A6"/>
    <w:rsid w:val="005F596E"/>
    <w:rsid w:val="005F5E11"/>
    <w:rsid w:val="005F5E90"/>
    <w:rsid w:val="005F77A2"/>
    <w:rsid w:val="005F77A6"/>
    <w:rsid w:val="005F7D95"/>
    <w:rsid w:val="0060032B"/>
    <w:rsid w:val="006006CB"/>
    <w:rsid w:val="00600AB5"/>
    <w:rsid w:val="006011DA"/>
    <w:rsid w:val="006015A4"/>
    <w:rsid w:val="00601A3F"/>
    <w:rsid w:val="00602752"/>
    <w:rsid w:val="00602A1C"/>
    <w:rsid w:val="00603C74"/>
    <w:rsid w:val="0060447C"/>
    <w:rsid w:val="006051D7"/>
    <w:rsid w:val="00605D82"/>
    <w:rsid w:val="0060649F"/>
    <w:rsid w:val="0060656F"/>
    <w:rsid w:val="0060675B"/>
    <w:rsid w:val="00606FE8"/>
    <w:rsid w:val="0060754E"/>
    <w:rsid w:val="00607BC3"/>
    <w:rsid w:val="00607D7C"/>
    <w:rsid w:val="00607ECD"/>
    <w:rsid w:val="00610D71"/>
    <w:rsid w:val="0061111C"/>
    <w:rsid w:val="00611BD7"/>
    <w:rsid w:val="00612621"/>
    <w:rsid w:val="00612DC2"/>
    <w:rsid w:val="0061327A"/>
    <w:rsid w:val="0061380B"/>
    <w:rsid w:val="0061418F"/>
    <w:rsid w:val="00614217"/>
    <w:rsid w:val="00614F8D"/>
    <w:rsid w:val="0061598D"/>
    <w:rsid w:val="00616195"/>
    <w:rsid w:val="00617D7E"/>
    <w:rsid w:val="0062060A"/>
    <w:rsid w:val="00621AE1"/>
    <w:rsid w:val="00621CB9"/>
    <w:rsid w:val="00622D19"/>
    <w:rsid w:val="006244C6"/>
    <w:rsid w:val="0062481E"/>
    <w:rsid w:val="00624A4E"/>
    <w:rsid w:val="00624B26"/>
    <w:rsid w:val="0062511A"/>
    <w:rsid w:val="00625765"/>
    <w:rsid w:val="0062589E"/>
    <w:rsid w:val="0062790A"/>
    <w:rsid w:val="00627F95"/>
    <w:rsid w:val="00630380"/>
    <w:rsid w:val="006306A5"/>
    <w:rsid w:val="006315C8"/>
    <w:rsid w:val="00632305"/>
    <w:rsid w:val="00632727"/>
    <w:rsid w:val="0063382F"/>
    <w:rsid w:val="00634316"/>
    <w:rsid w:val="00636890"/>
    <w:rsid w:val="006376A2"/>
    <w:rsid w:val="00637984"/>
    <w:rsid w:val="00637DB3"/>
    <w:rsid w:val="00640A19"/>
    <w:rsid w:val="00640E60"/>
    <w:rsid w:val="00640F86"/>
    <w:rsid w:val="00641CF3"/>
    <w:rsid w:val="00642261"/>
    <w:rsid w:val="00643125"/>
    <w:rsid w:val="00643146"/>
    <w:rsid w:val="006448A5"/>
    <w:rsid w:val="006453B0"/>
    <w:rsid w:val="006474A6"/>
    <w:rsid w:val="006509A7"/>
    <w:rsid w:val="00650C1B"/>
    <w:rsid w:val="00651902"/>
    <w:rsid w:val="006519EA"/>
    <w:rsid w:val="00651D2E"/>
    <w:rsid w:val="00652254"/>
    <w:rsid w:val="00652F2F"/>
    <w:rsid w:val="00653AFB"/>
    <w:rsid w:val="00653FE2"/>
    <w:rsid w:val="00654BAD"/>
    <w:rsid w:val="006552E8"/>
    <w:rsid w:val="006562C9"/>
    <w:rsid w:val="006562F2"/>
    <w:rsid w:val="006564F4"/>
    <w:rsid w:val="00656897"/>
    <w:rsid w:val="00656CCC"/>
    <w:rsid w:val="00656DE5"/>
    <w:rsid w:val="00656E19"/>
    <w:rsid w:val="00657825"/>
    <w:rsid w:val="00657B92"/>
    <w:rsid w:val="00657C84"/>
    <w:rsid w:val="00661592"/>
    <w:rsid w:val="0066168E"/>
    <w:rsid w:val="00662B1B"/>
    <w:rsid w:val="00663A75"/>
    <w:rsid w:val="00664276"/>
    <w:rsid w:val="006653EC"/>
    <w:rsid w:val="0066559F"/>
    <w:rsid w:val="00665D45"/>
    <w:rsid w:val="006674CB"/>
    <w:rsid w:val="006679CC"/>
    <w:rsid w:val="00667A5D"/>
    <w:rsid w:val="00667B4F"/>
    <w:rsid w:val="00671AFE"/>
    <w:rsid w:val="006725DF"/>
    <w:rsid w:val="00672B88"/>
    <w:rsid w:val="00673DE0"/>
    <w:rsid w:val="006744CD"/>
    <w:rsid w:val="0067497F"/>
    <w:rsid w:val="006749B3"/>
    <w:rsid w:val="00674E78"/>
    <w:rsid w:val="00675355"/>
    <w:rsid w:val="00677BB8"/>
    <w:rsid w:val="00677F2D"/>
    <w:rsid w:val="00680964"/>
    <w:rsid w:val="0068184E"/>
    <w:rsid w:val="00682497"/>
    <w:rsid w:val="00682562"/>
    <w:rsid w:val="00683C6A"/>
    <w:rsid w:val="00686E3C"/>
    <w:rsid w:val="00687DF8"/>
    <w:rsid w:val="00690518"/>
    <w:rsid w:val="00690753"/>
    <w:rsid w:val="00690C35"/>
    <w:rsid w:val="00692E9C"/>
    <w:rsid w:val="00692F0B"/>
    <w:rsid w:val="006939DF"/>
    <w:rsid w:val="0069683A"/>
    <w:rsid w:val="00697FCD"/>
    <w:rsid w:val="006A04C1"/>
    <w:rsid w:val="006A2630"/>
    <w:rsid w:val="006A276E"/>
    <w:rsid w:val="006A2AE3"/>
    <w:rsid w:val="006A367B"/>
    <w:rsid w:val="006A3C6A"/>
    <w:rsid w:val="006A465B"/>
    <w:rsid w:val="006A4E3F"/>
    <w:rsid w:val="006A5412"/>
    <w:rsid w:val="006A6BA2"/>
    <w:rsid w:val="006B0A5B"/>
    <w:rsid w:val="006B1DE9"/>
    <w:rsid w:val="006B3984"/>
    <w:rsid w:val="006B471D"/>
    <w:rsid w:val="006B47F0"/>
    <w:rsid w:val="006B4D98"/>
    <w:rsid w:val="006B5165"/>
    <w:rsid w:val="006B558D"/>
    <w:rsid w:val="006B609E"/>
    <w:rsid w:val="006B7AA9"/>
    <w:rsid w:val="006C019F"/>
    <w:rsid w:val="006C0874"/>
    <w:rsid w:val="006C11C1"/>
    <w:rsid w:val="006C1543"/>
    <w:rsid w:val="006C17A1"/>
    <w:rsid w:val="006C2277"/>
    <w:rsid w:val="006C391E"/>
    <w:rsid w:val="006C394E"/>
    <w:rsid w:val="006C3B07"/>
    <w:rsid w:val="006C3D33"/>
    <w:rsid w:val="006C4599"/>
    <w:rsid w:val="006C4BE5"/>
    <w:rsid w:val="006C51E5"/>
    <w:rsid w:val="006C5416"/>
    <w:rsid w:val="006C5DC7"/>
    <w:rsid w:val="006C6096"/>
    <w:rsid w:val="006C6D86"/>
    <w:rsid w:val="006C757B"/>
    <w:rsid w:val="006C7EDF"/>
    <w:rsid w:val="006D06A6"/>
    <w:rsid w:val="006D08F0"/>
    <w:rsid w:val="006D1B1A"/>
    <w:rsid w:val="006D1DD8"/>
    <w:rsid w:val="006D1F53"/>
    <w:rsid w:val="006D2D9C"/>
    <w:rsid w:val="006D2E1B"/>
    <w:rsid w:val="006D3594"/>
    <w:rsid w:val="006D3807"/>
    <w:rsid w:val="006D3FFF"/>
    <w:rsid w:val="006D4A3F"/>
    <w:rsid w:val="006D7214"/>
    <w:rsid w:val="006D734B"/>
    <w:rsid w:val="006D7892"/>
    <w:rsid w:val="006E018C"/>
    <w:rsid w:val="006E036B"/>
    <w:rsid w:val="006E098B"/>
    <w:rsid w:val="006E0BA7"/>
    <w:rsid w:val="006E0C6E"/>
    <w:rsid w:val="006E1217"/>
    <w:rsid w:val="006E2E22"/>
    <w:rsid w:val="006E376C"/>
    <w:rsid w:val="006E4E32"/>
    <w:rsid w:val="006E5166"/>
    <w:rsid w:val="006E56F3"/>
    <w:rsid w:val="006E59B9"/>
    <w:rsid w:val="006E5A55"/>
    <w:rsid w:val="006E6EE1"/>
    <w:rsid w:val="006E7424"/>
    <w:rsid w:val="006E7621"/>
    <w:rsid w:val="006E7698"/>
    <w:rsid w:val="006F0107"/>
    <w:rsid w:val="006F172F"/>
    <w:rsid w:val="006F185D"/>
    <w:rsid w:val="006F2A2C"/>
    <w:rsid w:val="006F4AD0"/>
    <w:rsid w:val="006F55E3"/>
    <w:rsid w:val="006F5A13"/>
    <w:rsid w:val="006F619D"/>
    <w:rsid w:val="006F62A0"/>
    <w:rsid w:val="006F7971"/>
    <w:rsid w:val="00700209"/>
    <w:rsid w:val="0070063A"/>
    <w:rsid w:val="00700F6D"/>
    <w:rsid w:val="007029E2"/>
    <w:rsid w:val="007042DC"/>
    <w:rsid w:val="0070539C"/>
    <w:rsid w:val="0070585B"/>
    <w:rsid w:val="00706495"/>
    <w:rsid w:val="0070653E"/>
    <w:rsid w:val="00706AA2"/>
    <w:rsid w:val="00706C59"/>
    <w:rsid w:val="00707F98"/>
    <w:rsid w:val="007100C1"/>
    <w:rsid w:val="0071039A"/>
    <w:rsid w:val="00711923"/>
    <w:rsid w:val="00711986"/>
    <w:rsid w:val="00711BD2"/>
    <w:rsid w:val="00712427"/>
    <w:rsid w:val="00712482"/>
    <w:rsid w:val="00712C43"/>
    <w:rsid w:val="00714B33"/>
    <w:rsid w:val="007168E8"/>
    <w:rsid w:val="00716B28"/>
    <w:rsid w:val="00716FA2"/>
    <w:rsid w:val="0071713A"/>
    <w:rsid w:val="007208C3"/>
    <w:rsid w:val="00721C63"/>
    <w:rsid w:val="00721F95"/>
    <w:rsid w:val="007220EB"/>
    <w:rsid w:val="0072376E"/>
    <w:rsid w:val="007247F8"/>
    <w:rsid w:val="00724D7D"/>
    <w:rsid w:val="00726002"/>
    <w:rsid w:val="007268A9"/>
    <w:rsid w:val="00726A7E"/>
    <w:rsid w:val="00730911"/>
    <w:rsid w:val="00730967"/>
    <w:rsid w:val="0073187D"/>
    <w:rsid w:val="00732960"/>
    <w:rsid w:val="00732A79"/>
    <w:rsid w:val="00733593"/>
    <w:rsid w:val="007338A7"/>
    <w:rsid w:val="00733A49"/>
    <w:rsid w:val="00733B13"/>
    <w:rsid w:val="00733D07"/>
    <w:rsid w:val="00734FD4"/>
    <w:rsid w:val="00736B36"/>
    <w:rsid w:val="00736F9F"/>
    <w:rsid w:val="00737F55"/>
    <w:rsid w:val="00740329"/>
    <w:rsid w:val="00740514"/>
    <w:rsid w:val="007406BA"/>
    <w:rsid w:val="00740BE3"/>
    <w:rsid w:val="00741AB7"/>
    <w:rsid w:val="00742368"/>
    <w:rsid w:val="00742721"/>
    <w:rsid w:val="00742B82"/>
    <w:rsid w:val="00742C82"/>
    <w:rsid w:val="00743411"/>
    <w:rsid w:val="0074403F"/>
    <w:rsid w:val="00744E7C"/>
    <w:rsid w:val="00744FF3"/>
    <w:rsid w:val="00745072"/>
    <w:rsid w:val="00745939"/>
    <w:rsid w:val="007459B6"/>
    <w:rsid w:val="00746FBF"/>
    <w:rsid w:val="00747429"/>
    <w:rsid w:val="00747C66"/>
    <w:rsid w:val="0075007B"/>
    <w:rsid w:val="00750BC6"/>
    <w:rsid w:val="00751AD1"/>
    <w:rsid w:val="0075231A"/>
    <w:rsid w:val="00753152"/>
    <w:rsid w:val="007541B4"/>
    <w:rsid w:val="00754FEB"/>
    <w:rsid w:val="007557C3"/>
    <w:rsid w:val="007558D7"/>
    <w:rsid w:val="007563D7"/>
    <w:rsid w:val="00757104"/>
    <w:rsid w:val="00757A55"/>
    <w:rsid w:val="0076145B"/>
    <w:rsid w:val="00761636"/>
    <w:rsid w:val="00761BFA"/>
    <w:rsid w:val="0076207C"/>
    <w:rsid w:val="007648E9"/>
    <w:rsid w:val="007649D6"/>
    <w:rsid w:val="007651AA"/>
    <w:rsid w:val="0076577A"/>
    <w:rsid w:val="0076597D"/>
    <w:rsid w:val="00765EFD"/>
    <w:rsid w:val="00766E08"/>
    <w:rsid w:val="00767774"/>
    <w:rsid w:val="00767BDE"/>
    <w:rsid w:val="00770460"/>
    <w:rsid w:val="00770D35"/>
    <w:rsid w:val="007717A8"/>
    <w:rsid w:val="00771B8F"/>
    <w:rsid w:val="007722A5"/>
    <w:rsid w:val="007728DC"/>
    <w:rsid w:val="0077291E"/>
    <w:rsid w:val="0077442B"/>
    <w:rsid w:val="00774673"/>
    <w:rsid w:val="0077596F"/>
    <w:rsid w:val="00775A61"/>
    <w:rsid w:val="00776550"/>
    <w:rsid w:val="007768A0"/>
    <w:rsid w:val="007778C9"/>
    <w:rsid w:val="00780AA8"/>
    <w:rsid w:val="00781648"/>
    <w:rsid w:val="00781857"/>
    <w:rsid w:val="00782138"/>
    <w:rsid w:val="0078232F"/>
    <w:rsid w:val="00783407"/>
    <w:rsid w:val="0078378B"/>
    <w:rsid w:val="00784543"/>
    <w:rsid w:val="00784BD9"/>
    <w:rsid w:val="0078560C"/>
    <w:rsid w:val="00785AE7"/>
    <w:rsid w:val="00786199"/>
    <w:rsid w:val="007876B6"/>
    <w:rsid w:val="00787D4F"/>
    <w:rsid w:val="00787E3C"/>
    <w:rsid w:val="00790612"/>
    <w:rsid w:val="007907ED"/>
    <w:rsid w:val="00791C54"/>
    <w:rsid w:val="00791C87"/>
    <w:rsid w:val="0079212D"/>
    <w:rsid w:val="00794ACD"/>
    <w:rsid w:val="007953EC"/>
    <w:rsid w:val="00795536"/>
    <w:rsid w:val="0079687D"/>
    <w:rsid w:val="00797458"/>
    <w:rsid w:val="0079765A"/>
    <w:rsid w:val="00797D46"/>
    <w:rsid w:val="007A0751"/>
    <w:rsid w:val="007A0ACA"/>
    <w:rsid w:val="007A19C3"/>
    <w:rsid w:val="007A1A7C"/>
    <w:rsid w:val="007A1B26"/>
    <w:rsid w:val="007A1D48"/>
    <w:rsid w:val="007A2072"/>
    <w:rsid w:val="007A2217"/>
    <w:rsid w:val="007A2FA1"/>
    <w:rsid w:val="007A35D0"/>
    <w:rsid w:val="007A36CE"/>
    <w:rsid w:val="007A37FB"/>
    <w:rsid w:val="007A3959"/>
    <w:rsid w:val="007A4663"/>
    <w:rsid w:val="007A49F7"/>
    <w:rsid w:val="007A5092"/>
    <w:rsid w:val="007A538F"/>
    <w:rsid w:val="007A5658"/>
    <w:rsid w:val="007A571E"/>
    <w:rsid w:val="007A6659"/>
    <w:rsid w:val="007A7B71"/>
    <w:rsid w:val="007B13F3"/>
    <w:rsid w:val="007B1897"/>
    <w:rsid w:val="007B210D"/>
    <w:rsid w:val="007B224E"/>
    <w:rsid w:val="007B2B17"/>
    <w:rsid w:val="007B3D83"/>
    <w:rsid w:val="007B48DB"/>
    <w:rsid w:val="007B623A"/>
    <w:rsid w:val="007B6813"/>
    <w:rsid w:val="007B6B27"/>
    <w:rsid w:val="007B6D5A"/>
    <w:rsid w:val="007B70B2"/>
    <w:rsid w:val="007B7958"/>
    <w:rsid w:val="007C09DA"/>
    <w:rsid w:val="007C137E"/>
    <w:rsid w:val="007C2588"/>
    <w:rsid w:val="007C31F4"/>
    <w:rsid w:val="007C412D"/>
    <w:rsid w:val="007C42AF"/>
    <w:rsid w:val="007C4810"/>
    <w:rsid w:val="007C53A4"/>
    <w:rsid w:val="007C56BE"/>
    <w:rsid w:val="007C59D2"/>
    <w:rsid w:val="007C6BC6"/>
    <w:rsid w:val="007C6F00"/>
    <w:rsid w:val="007C749E"/>
    <w:rsid w:val="007C7EC1"/>
    <w:rsid w:val="007D0031"/>
    <w:rsid w:val="007D0119"/>
    <w:rsid w:val="007D0B39"/>
    <w:rsid w:val="007D16F6"/>
    <w:rsid w:val="007D2A54"/>
    <w:rsid w:val="007D2FB9"/>
    <w:rsid w:val="007D3565"/>
    <w:rsid w:val="007D4049"/>
    <w:rsid w:val="007D65C5"/>
    <w:rsid w:val="007D6A34"/>
    <w:rsid w:val="007D700A"/>
    <w:rsid w:val="007E0211"/>
    <w:rsid w:val="007E10F8"/>
    <w:rsid w:val="007E210D"/>
    <w:rsid w:val="007E2505"/>
    <w:rsid w:val="007E34D3"/>
    <w:rsid w:val="007E3A52"/>
    <w:rsid w:val="007E4A2B"/>
    <w:rsid w:val="007E4B81"/>
    <w:rsid w:val="007E631B"/>
    <w:rsid w:val="007E77C7"/>
    <w:rsid w:val="007E7B4C"/>
    <w:rsid w:val="007F03EA"/>
    <w:rsid w:val="007F14EE"/>
    <w:rsid w:val="007F1AE2"/>
    <w:rsid w:val="007F1DCC"/>
    <w:rsid w:val="007F1EB9"/>
    <w:rsid w:val="007F2F7F"/>
    <w:rsid w:val="007F52AB"/>
    <w:rsid w:val="007F60ED"/>
    <w:rsid w:val="007F70C3"/>
    <w:rsid w:val="007F74B2"/>
    <w:rsid w:val="00800AFF"/>
    <w:rsid w:val="00801F36"/>
    <w:rsid w:val="00802238"/>
    <w:rsid w:val="0080292E"/>
    <w:rsid w:val="00802B57"/>
    <w:rsid w:val="00803947"/>
    <w:rsid w:val="00803D11"/>
    <w:rsid w:val="00803D3A"/>
    <w:rsid w:val="008046FD"/>
    <w:rsid w:val="00804A5E"/>
    <w:rsid w:val="008078DE"/>
    <w:rsid w:val="00810360"/>
    <w:rsid w:val="0081036C"/>
    <w:rsid w:val="0081061A"/>
    <w:rsid w:val="008107E2"/>
    <w:rsid w:val="008111C3"/>
    <w:rsid w:val="0081121A"/>
    <w:rsid w:val="008113BF"/>
    <w:rsid w:val="0081151E"/>
    <w:rsid w:val="008115BA"/>
    <w:rsid w:val="008117C1"/>
    <w:rsid w:val="00812031"/>
    <w:rsid w:val="008125CA"/>
    <w:rsid w:val="00812609"/>
    <w:rsid w:val="00813435"/>
    <w:rsid w:val="00813E05"/>
    <w:rsid w:val="008156D3"/>
    <w:rsid w:val="008157BB"/>
    <w:rsid w:val="0081629E"/>
    <w:rsid w:val="0081718C"/>
    <w:rsid w:val="0081752B"/>
    <w:rsid w:val="00817F58"/>
    <w:rsid w:val="0082188F"/>
    <w:rsid w:val="00821B17"/>
    <w:rsid w:val="00821F52"/>
    <w:rsid w:val="0082227C"/>
    <w:rsid w:val="00822F36"/>
    <w:rsid w:val="00823DF0"/>
    <w:rsid w:val="008243D8"/>
    <w:rsid w:val="0082623F"/>
    <w:rsid w:val="008267D1"/>
    <w:rsid w:val="00826B52"/>
    <w:rsid w:val="00827120"/>
    <w:rsid w:val="00827231"/>
    <w:rsid w:val="00827409"/>
    <w:rsid w:val="0082795C"/>
    <w:rsid w:val="00827AF2"/>
    <w:rsid w:val="00827DF3"/>
    <w:rsid w:val="008316C7"/>
    <w:rsid w:val="00832330"/>
    <w:rsid w:val="008330E3"/>
    <w:rsid w:val="00833A35"/>
    <w:rsid w:val="00833E33"/>
    <w:rsid w:val="00834004"/>
    <w:rsid w:val="008343BA"/>
    <w:rsid w:val="0083441A"/>
    <w:rsid w:val="008348AE"/>
    <w:rsid w:val="008351BE"/>
    <w:rsid w:val="008359DC"/>
    <w:rsid w:val="00835B23"/>
    <w:rsid w:val="0083665B"/>
    <w:rsid w:val="00837D63"/>
    <w:rsid w:val="00841316"/>
    <w:rsid w:val="00842676"/>
    <w:rsid w:val="00842A00"/>
    <w:rsid w:val="00844AAD"/>
    <w:rsid w:val="00845124"/>
    <w:rsid w:val="00846C63"/>
    <w:rsid w:val="00846FAD"/>
    <w:rsid w:val="008473C0"/>
    <w:rsid w:val="0084772B"/>
    <w:rsid w:val="00847E44"/>
    <w:rsid w:val="00852099"/>
    <w:rsid w:val="008550AC"/>
    <w:rsid w:val="0085595C"/>
    <w:rsid w:val="00856F3E"/>
    <w:rsid w:val="00857134"/>
    <w:rsid w:val="008572BB"/>
    <w:rsid w:val="00857AB3"/>
    <w:rsid w:val="0086099B"/>
    <w:rsid w:val="00860D7A"/>
    <w:rsid w:val="0086114D"/>
    <w:rsid w:val="00861C63"/>
    <w:rsid w:val="00862076"/>
    <w:rsid w:val="0086279C"/>
    <w:rsid w:val="00863508"/>
    <w:rsid w:val="00863BCC"/>
    <w:rsid w:val="00864C5F"/>
    <w:rsid w:val="0086525E"/>
    <w:rsid w:val="00865BDB"/>
    <w:rsid w:val="00866702"/>
    <w:rsid w:val="008669B6"/>
    <w:rsid w:val="00867EF3"/>
    <w:rsid w:val="00870736"/>
    <w:rsid w:val="00870B11"/>
    <w:rsid w:val="00871118"/>
    <w:rsid w:val="00871462"/>
    <w:rsid w:val="00871E3A"/>
    <w:rsid w:val="0087253A"/>
    <w:rsid w:val="00872A37"/>
    <w:rsid w:val="00872AEF"/>
    <w:rsid w:val="00872AFD"/>
    <w:rsid w:val="00872BAE"/>
    <w:rsid w:val="00872E8B"/>
    <w:rsid w:val="008734CF"/>
    <w:rsid w:val="00873A4D"/>
    <w:rsid w:val="00874215"/>
    <w:rsid w:val="00875995"/>
    <w:rsid w:val="00875CA7"/>
    <w:rsid w:val="00877020"/>
    <w:rsid w:val="008808F9"/>
    <w:rsid w:val="008818A0"/>
    <w:rsid w:val="00882070"/>
    <w:rsid w:val="00884310"/>
    <w:rsid w:val="00885A0C"/>
    <w:rsid w:val="00885A19"/>
    <w:rsid w:val="00885C50"/>
    <w:rsid w:val="00885E84"/>
    <w:rsid w:val="0088705B"/>
    <w:rsid w:val="00887820"/>
    <w:rsid w:val="00887972"/>
    <w:rsid w:val="00887E74"/>
    <w:rsid w:val="00887F95"/>
    <w:rsid w:val="0089021F"/>
    <w:rsid w:val="008914B8"/>
    <w:rsid w:val="00891E44"/>
    <w:rsid w:val="0089215D"/>
    <w:rsid w:val="008922C5"/>
    <w:rsid w:val="00892DD7"/>
    <w:rsid w:val="00893538"/>
    <w:rsid w:val="00893824"/>
    <w:rsid w:val="00894633"/>
    <w:rsid w:val="00894865"/>
    <w:rsid w:val="00894965"/>
    <w:rsid w:val="00895A44"/>
    <w:rsid w:val="00896378"/>
    <w:rsid w:val="00896659"/>
    <w:rsid w:val="008969B1"/>
    <w:rsid w:val="008969D6"/>
    <w:rsid w:val="008978FC"/>
    <w:rsid w:val="00897BD4"/>
    <w:rsid w:val="008A0189"/>
    <w:rsid w:val="008A288A"/>
    <w:rsid w:val="008A3342"/>
    <w:rsid w:val="008A3CE6"/>
    <w:rsid w:val="008A3CE8"/>
    <w:rsid w:val="008A442F"/>
    <w:rsid w:val="008A4D3A"/>
    <w:rsid w:val="008A510C"/>
    <w:rsid w:val="008A51A6"/>
    <w:rsid w:val="008A5B97"/>
    <w:rsid w:val="008A5CAF"/>
    <w:rsid w:val="008A6E84"/>
    <w:rsid w:val="008A7689"/>
    <w:rsid w:val="008A780B"/>
    <w:rsid w:val="008A7B23"/>
    <w:rsid w:val="008B0B98"/>
    <w:rsid w:val="008B18C2"/>
    <w:rsid w:val="008B1F8B"/>
    <w:rsid w:val="008B334A"/>
    <w:rsid w:val="008B4CE8"/>
    <w:rsid w:val="008B4D9E"/>
    <w:rsid w:val="008B5305"/>
    <w:rsid w:val="008B55C6"/>
    <w:rsid w:val="008B5C3E"/>
    <w:rsid w:val="008B6FEB"/>
    <w:rsid w:val="008B7265"/>
    <w:rsid w:val="008C01C5"/>
    <w:rsid w:val="008C0517"/>
    <w:rsid w:val="008C0F0D"/>
    <w:rsid w:val="008C1336"/>
    <w:rsid w:val="008C1832"/>
    <w:rsid w:val="008C19C5"/>
    <w:rsid w:val="008C1C0F"/>
    <w:rsid w:val="008C1E1F"/>
    <w:rsid w:val="008C330E"/>
    <w:rsid w:val="008C3390"/>
    <w:rsid w:val="008C43A6"/>
    <w:rsid w:val="008C45A4"/>
    <w:rsid w:val="008C4B36"/>
    <w:rsid w:val="008C503F"/>
    <w:rsid w:val="008C5FC3"/>
    <w:rsid w:val="008C6873"/>
    <w:rsid w:val="008C7036"/>
    <w:rsid w:val="008C7393"/>
    <w:rsid w:val="008D0177"/>
    <w:rsid w:val="008D0563"/>
    <w:rsid w:val="008D0997"/>
    <w:rsid w:val="008D1606"/>
    <w:rsid w:val="008D1A10"/>
    <w:rsid w:val="008D28BF"/>
    <w:rsid w:val="008D2A4E"/>
    <w:rsid w:val="008D366C"/>
    <w:rsid w:val="008D3BA8"/>
    <w:rsid w:val="008D3D2A"/>
    <w:rsid w:val="008D4764"/>
    <w:rsid w:val="008D48A9"/>
    <w:rsid w:val="008D632F"/>
    <w:rsid w:val="008D6634"/>
    <w:rsid w:val="008D7416"/>
    <w:rsid w:val="008E02AA"/>
    <w:rsid w:val="008E0964"/>
    <w:rsid w:val="008E0B67"/>
    <w:rsid w:val="008E0D0C"/>
    <w:rsid w:val="008E11B3"/>
    <w:rsid w:val="008E1724"/>
    <w:rsid w:val="008E1CE2"/>
    <w:rsid w:val="008E2A86"/>
    <w:rsid w:val="008E2D08"/>
    <w:rsid w:val="008E343A"/>
    <w:rsid w:val="008E3972"/>
    <w:rsid w:val="008E3ABA"/>
    <w:rsid w:val="008E5031"/>
    <w:rsid w:val="008E5BC0"/>
    <w:rsid w:val="008E690A"/>
    <w:rsid w:val="008E713F"/>
    <w:rsid w:val="008E72BA"/>
    <w:rsid w:val="008E77CB"/>
    <w:rsid w:val="008E7BE8"/>
    <w:rsid w:val="008F1470"/>
    <w:rsid w:val="008F2237"/>
    <w:rsid w:val="008F2B16"/>
    <w:rsid w:val="008F3196"/>
    <w:rsid w:val="008F3CF4"/>
    <w:rsid w:val="008F3E9E"/>
    <w:rsid w:val="008F43C4"/>
    <w:rsid w:val="008F4B74"/>
    <w:rsid w:val="008F50D9"/>
    <w:rsid w:val="008F6C53"/>
    <w:rsid w:val="00900494"/>
    <w:rsid w:val="0090091B"/>
    <w:rsid w:val="0090162D"/>
    <w:rsid w:val="00901881"/>
    <w:rsid w:val="009018DC"/>
    <w:rsid w:val="009025FE"/>
    <w:rsid w:val="00902F82"/>
    <w:rsid w:val="0090301B"/>
    <w:rsid w:val="00903B2E"/>
    <w:rsid w:val="00903CCC"/>
    <w:rsid w:val="00903D0E"/>
    <w:rsid w:val="00904E79"/>
    <w:rsid w:val="00905397"/>
    <w:rsid w:val="00905BAE"/>
    <w:rsid w:val="00906786"/>
    <w:rsid w:val="00906999"/>
    <w:rsid w:val="0090720D"/>
    <w:rsid w:val="00910225"/>
    <w:rsid w:val="00911092"/>
    <w:rsid w:val="0091145A"/>
    <w:rsid w:val="009116D7"/>
    <w:rsid w:val="0091261E"/>
    <w:rsid w:val="00913B10"/>
    <w:rsid w:val="00913E22"/>
    <w:rsid w:val="009148C5"/>
    <w:rsid w:val="00914BDE"/>
    <w:rsid w:val="00914C7B"/>
    <w:rsid w:val="00914D89"/>
    <w:rsid w:val="009151B4"/>
    <w:rsid w:val="00915607"/>
    <w:rsid w:val="009176CA"/>
    <w:rsid w:val="00917BA5"/>
    <w:rsid w:val="00917E05"/>
    <w:rsid w:val="00920230"/>
    <w:rsid w:val="009208BB"/>
    <w:rsid w:val="00921398"/>
    <w:rsid w:val="009226EE"/>
    <w:rsid w:val="00922D17"/>
    <w:rsid w:val="009230FF"/>
    <w:rsid w:val="00924CF5"/>
    <w:rsid w:val="00925504"/>
    <w:rsid w:val="00926DC6"/>
    <w:rsid w:val="00927D43"/>
    <w:rsid w:val="009300A4"/>
    <w:rsid w:val="00930180"/>
    <w:rsid w:val="00932AC6"/>
    <w:rsid w:val="0093356C"/>
    <w:rsid w:val="009337DB"/>
    <w:rsid w:val="00934322"/>
    <w:rsid w:val="009344BE"/>
    <w:rsid w:val="00934F8A"/>
    <w:rsid w:val="00935D2B"/>
    <w:rsid w:val="00940891"/>
    <w:rsid w:val="00941009"/>
    <w:rsid w:val="0094131A"/>
    <w:rsid w:val="00941683"/>
    <w:rsid w:val="00941C4E"/>
    <w:rsid w:val="0094200F"/>
    <w:rsid w:val="00942B51"/>
    <w:rsid w:val="00943338"/>
    <w:rsid w:val="00944104"/>
    <w:rsid w:val="0094553E"/>
    <w:rsid w:val="00946C86"/>
    <w:rsid w:val="00947471"/>
    <w:rsid w:val="00947E9F"/>
    <w:rsid w:val="0095069E"/>
    <w:rsid w:val="00950D09"/>
    <w:rsid w:val="0095308D"/>
    <w:rsid w:val="009534FA"/>
    <w:rsid w:val="009540CC"/>
    <w:rsid w:val="00955F33"/>
    <w:rsid w:val="00956F3A"/>
    <w:rsid w:val="00960137"/>
    <w:rsid w:val="00961C61"/>
    <w:rsid w:val="009625ED"/>
    <w:rsid w:val="00962920"/>
    <w:rsid w:val="00963317"/>
    <w:rsid w:val="00963A01"/>
    <w:rsid w:val="00964767"/>
    <w:rsid w:val="0096484A"/>
    <w:rsid w:val="00964B0C"/>
    <w:rsid w:val="00965161"/>
    <w:rsid w:val="00965960"/>
    <w:rsid w:val="009659DC"/>
    <w:rsid w:val="00965C16"/>
    <w:rsid w:val="00966343"/>
    <w:rsid w:val="009668AE"/>
    <w:rsid w:val="009676CF"/>
    <w:rsid w:val="00967E60"/>
    <w:rsid w:val="009705A8"/>
    <w:rsid w:val="009705BF"/>
    <w:rsid w:val="00971C15"/>
    <w:rsid w:val="00972177"/>
    <w:rsid w:val="009728A9"/>
    <w:rsid w:val="009729D9"/>
    <w:rsid w:val="00972D9F"/>
    <w:rsid w:val="0097453C"/>
    <w:rsid w:val="009757B1"/>
    <w:rsid w:val="00975E32"/>
    <w:rsid w:val="00976815"/>
    <w:rsid w:val="00976A4F"/>
    <w:rsid w:val="009774C3"/>
    <w:rsid w:val="00980859"/>
    <w:rsid w:val="009810F6"/>
    <w:rsid w:val="009811E7"/>
    <w:rsid w:val="0098129E"/>
    <w:rsid w:val="00981324"/>
    <w:rsid w:val="00981A1F"/>
    <w:rsid w:val="00982238"/>
    <w:rsid w:val="00983800"/>
    <w:rsid w:val="00983EE4"/>
    <w:rsid w:val="009852C7"/>
    <w:rsid w:val="00986B83"/>
    <w:rsid w:val="00986E01"/>
    <w:rsid w:val="0098748B"/>
    <w:rsid w:val="00987949"/>
    <w:rsid w:val="0099222B"/>
    <w:rsid w:val="009923FD"/>
    <w:rsid w:val="009924E5"/>
    <w:rsid w:val="00992D32"/>
    <w:rsid w:val="00993FCD"/>
    <w:rsid w:val="00994E36"/>
    <w:rsid w:val="00995AE7"/>
    <w:rsid w:val="009964F5"/>
    <w:rsid w:val="00996DA4"/>
    <w:rsid w:val="00997269"/>
    <w:rsid w:val="00997B41"/>
    <w:rsid w:val="009A0574"/>
    <w:rsid w:val="009A09E5"/>
    <w:rsid w:val="009A1200"/>
    <w:rsid w:val="009A2030"/>
    <w:rsid w:val="009A28FD"/>
    <w:rsid w:val="009A3E65"/>
    <w:rsid w:val="009A427A"/>
    <w:rsid w:val="009A44CF"/>
    <w:rsid w:val="009A4619"/>
    <w:rsid w:val="009A670F"/>
    <w:rsid w:val="009A6849"/>
    <w:rsid w:val="009A7207"/>
    <w:rsid w:val="009B07AB"/>
    <w:rsid w:val="009B0925"/>
    <w:rsid w:val="009B0F3A"/>
    <w:rsid w:val="009B1121"/>
    <w:rsid w:val="009B2E52"/>
    <w:rsid w:val="009B31D9"/>
    <w:rsid w:val="009B3916"/>
    <w:rsid w:val="009B3A30"/>
    <w:rsid w:val="009B4737"/>
    <w:rsid w:val="009B560E"/>
    <w:rsid w:val="009B56BD"/>
    <w:rsid w:val="009B6022"/>
    <w:rsid w:val="009B775E"/>
    <w:rsid w:val="009C0034"/>
    <w:rsid w:val="009C037F"/>
    <w:rsid w:val="009C088C"/>
    <w:rsid w:val="009C08CD"/>
    <w:rsid w:val="009C1CD2"/>
    <w:rsid w:val="009C2762"/>
    <w:rsid w:val="009C2E96"/>
    <w:rsid w:val="009C3F59"/>
    <w:rsid w:val="009C40CB"/>
    <w:rsid w:val="009C4147"/>
    <w:rsid w:val="009C42F8"/>
    <w:rsid w:val="009C455E"/>
    <w:rsid w:val="009C4BE8"/>
    <w:rsid w:val="009C4C76"/>
    <w:rsid w:val="009C532D"/>
    <w:rsid w:val="009C5E65"/>
    <w:rsid w:val="009C6418"/>
    <w:rsid w:val="009C7732"/>
    <w:rsid w:val="009D0688"/>
    <w:rsid w:val="009D0C67"/>
    <w:rsid w:val="009D12A5"/>
    <w:rsid w:val="009D250A"/>
    <w:rsid w:val="009D27DB"/>
    <w:rsid w:val="009D2D54"/>
    <w:rsid w:val="009D3C10"/>
    <w:rsid w:val="009D4490"/>
    <w:rsid w:val="009D581E"/>
    <w:rsid w:val="009D676A"/>
    <w:rsid w:val="009D7212"/>
    <w:rsid w:val="009E0619"/>
    <w:rsid w:val="009E06C9"/>
    <w:rsid w:val="009E08E8"/>
    <w:rsid w:val="009E1014"/>
    <w:rsid w:val="009E1258"/>
    <w:rsid w:val="009E1922"/>
    <w:rsid w:val="009E1AA5"/>
    <w:rsid w:val="009E1C06"/>
    <w:rsid w:val="009E221A"/>
    <w:rsid w:val="009E2341"/>
    <w:rsid w:val="009E39F6"/>
    <w:rsid w:val="009E4AD1"/>
    <w:rsid w:val="009E507A"/>
    <w:rsid w:val="009E54FC"/>
    <w:rsid w:val="009E5E03"/>
    <w:rsid w:val="009E659E"/>
    <w:rsid w:val="009E7422"/>
    <w:rsid w:val="009F0791"/>
    <w:rsid w:val="009F0BD8"/>
    <w:rsid w:val="009F1323"/>
    <w:rsid w:val="009F3F5C"/>
    <w:rsid w:val="009F44F5"/>
    <w:rsid w:val="009F4877"/>
    <w:rsid w:val="00A0178C"/>
    <w:rsid w:val="00A02605"/>
    <w:rsid w:val="00A02A33"/>
    <w:rsid w:val="00A0367E"/>
    <w:rsid w:val="00A03CE9"/>
    <w:rsid w:val="00A03D4D"/>
    <w:rsid w:val="00A0443A"/>
    <w:rsid w:val="00A048A3"/>
    <w:rsid w:val="00A04A99"/>
    <w:rsid w:val="00A04E45"/>
    <w:rsid w:val="00A05DEB"/>
    <w:rsid w:val="00A06672"/>
    <w:rsid w:val="00A0761A"/>
    <w:rsid w:val="00A07B99"/>
    <w:rsid w:val="00A10CD4"/>
    <w:rsid w:val="00A114C9"/>
    <w:rsid w:val="00A11B97"/>
    <w:rsid w:val="00A122C1"/>
    <w:rsid w:val="00A14379"/>
    <w:rsid w:val="00A14A73"/>
    <w:rsid w:val="00A14C5B"/>
    <w:rsid w:val="00A1568A"/>
    <w:rsid w:val="00A1745A"/>
    <w:rsid w:val="00A17FF3"/>
    <w:rsid w:val="00A21400"/>
    <w:rsid w:val="00A21E11"/>
    <w:rsid w:val="00A22195"/>
    <w:rsid w:val="00A223F7"/>
    <w:rsid w:val="00A22D5A"/>
    <w:rsid w:val="00A22E88"/>
    <w:rsid w:val="00A22EFC"/>
    <w:rsid w:val="00A23182"/>
    <w:rsid w:val="00A2415D"/>
    <w:rsid w:val="00A242B4"/>
    <w:rsid w:val="00A25FD4"/>
    <w:rsid w:val="00A26864"/>
    <w:rsid w:val="00A268CE"/>
    <w:rsid w:val="00A27293"/>
    <w:rsid w:val="00A3012B"/>
    <w:rsid w:val="00A30769"/>
    <w:rsid w:val="00A31C53"/>
    <w:rsid w:val="00A31E72"/>
    <w:rsid w:val="00A3250F"/>
    <w:rsid w:val="00A3271E"/>
    <w:rsid w:val="00A334D1"/>
    <w:rsid w:val="00A339DD"/>
    <w:rsid w:val="00A34359"/>
    <w:rsid w:val="00A3533B"/>
    <w:rsid w:val="00A3534E"/>
    <w:rsid w:val="00A3650D"/>
    <w:rsid w:val="00A372DC"/>
    <w:rsid w:val="00A377AF"/>
    <w:rsid w:val="00A37B4C"/>
    <w:rsid w:val="00A403CB"/>
    <w:rsid w:val="00A413A4"/>
    <w:rsid w:val="00A413BE"/>
    <w:rsid w:val="00A41494"/>
    <w:rsid w:val="00A41CC4"/>
    <w:rsid w:val="00A41DA7"/>
    <w:rsid w:val="00A4356A"/>
    <w:rsid w:val="00A43DFA"/>
    <w:rsid w:val="00A44495"/>
    <w:rsid w:val="00A44B13"/>
    <w:rsid w:val="00A46961"/>
    <w:rsid w:val="00A46A90"/>
    <w:rsid w:val="00A47456"/>
    <w:rsid w:val="00A47B91"/>
    <w:rsid w:val="00A50398"/>
    <w:rsid w:val="00A5065B"/>
    <w:rsid w:val="00A5140B"/>
    <w:rsid w:val="00A520B1"/>
    <w:rsid w:val="00A526E5"/>
    <w:rsid w:val="00A53BA7"/>
    <w:rsid w:val="00A53D74"/>
    <w:rsid w:val="00A559FD"/>
    <w:rsid w:val="00A56B77"/>
    <w:rsid w:val="00A5719D"/>
    <w:rsid w:val="00A578BD"/>
    <w:rsid w:val="00A57A77"/>
    <w:rsid w:val="00A57F42"/>
    <w:rsid w:val="00A60C78"/>
    <w:rsid w:val="00A6108D"/>
    <w:rsid w:val="00A61BF6"/>
    <w:rsid w:val="00A61F1B"/>
    <w:rsid w:val="00A62423"/>
    <w:rsid w:val="00A62EFD"/>
    <w:rsid w:val="00A64718"/>
    <w:rsid w:val="00A654AA"/>
    <w:rsid w:val="00A663B6"/>
    <w:rsid w:val="00A67343"/>
    <w:rsid w:val="00A67710"/>
    <w:rsid w:val="00A67BC4"/>
    <w:rsid w:val="00A709A1"/>
    <w:rsid w:val="00A7220B"/>
    <w:rsid w:val="00A7254E"/>
    <w:rsid w:val="00A7274D"/>
    <w:rsid w:val="00A72D8C"/>
    <w:rsid w:val="00A73515"/>
    <w:rsid w:val="00A73931"/>
    <w:rsid w:val="00A73F03"/>
    <w:rsid w:val="00A74231"/>
    <w:rsid w:val="00A7488F"/>
    <w:rsid w:val="00A74E16"/>
    <w:rsid w:val="00A75354"/>
    <w:rsid w:val="00A7638E"/>
    <w:rsid w:val="00A76494"/>
    <w:rsid w:val="00A76D39"/>
    <w:rsid w:val="00A770A6"/>
    <w:rsid w:val="00A770FE"/>
    <w:rsid w:val="00A77992"/>
    <w:rsid w:val="00A77995"/>
    <w:rsid w:val="00A77C95"/>
    <w:rsid w:val="00A8025D"/>
    <w:rsid w:val="00A806D4"/>
    <w:rsid w:val="00A80967"/>
    <w:rsid w:val="00A8109D"/>
    <w:rsid w:val="00A810DC"/>
    <w:rsid w:val="00A81174"/>
    <w:rsid w:val="00A8161F"/>
    <w:rsid w:val="00A82779"/>
    <w:rsid w:val="00A83141"/>
    <w:rsid w:val="00A8360F"/>
    <w:rsid w:val="00A83C9A"/>
    <w:rsid w:val="00A846E1"/>
    <w:rsid w:val="00A84835"/>
    <w:rsid w:val="00A850D7"/>
    <w:rsid w:val="00A8662D"/>
    <w:rsid w:val="00A868B8"/>
    <w:rsid w:val="00A8759D"/>
    <w:rsid w:val="00A87A7C"/>
    <w:rsid w:val="00A87F7D"/>
    <w:rsid w:val="00A87F9A"/>
    <w:rsid w:val="00A901BC"/>
    <w:rsid w:val="00A90C68"/>
    <w:rsid w:val="00A911D1"/>
    <w:rsid w:val="00A9168D"/>
    <w:rsid w:val="00A9190E"/>
    <w:rsid w:val="00A928F2"/>
    <w:rsid w:val="00A94E2F"/>
    <w:rsid w:val="00A95F95"/>
    <w:rsid w:val="00A961AB"/>
    <w:rsid w:val="00A968A6"/>
    <w:rsid w:val="00A97D6C"/>
    <w:rsid w:val="00AA240D"/>
    <w:rsid w:val="00AA2688"/>
    <w:rsid w:val="00AA2803"/>
    <w:rsid w:val="00AA4176"/>
    <w:rsid w:val="00AA4BDE"/>
    <w:rsid w:val="00AA549D"/>
    <w:rsid w:val="00AA5D8A"/>
    <w:rsid w:val="00AA5E2E"/>
    <w:rsid w:val="00AA7919"/>
    <w:rsid w:val="00AB1152"/>
    <w:rsid w:val="00AB1420"/>
    <w:rsid w:val="00AB20B4"/>
    <w:rsid w:val="00AB273F"/>
    <w:rsid w:val="00AB2B59"/>
    <w:rsid w:val="00AB2C5F"/>
    <w:rsid w:val="00AB30B0"/>
    <w:rsid w:val="00AB4370"/>
    <w:rsid w:val="00AB52B2"/>
    <w:rsid w:val="00AB5BAC"/>
    <w:rsid w:val="00AB625C"/>
    <w:rsid w:val="00AB6271"/>
    <w:rsid w:val="00AB71A1"/>
    <w:rsid w:val="00AB78A8"/>
    <w:rsid w:val="00AB7924"/>
    <w:rsid w:val="00AB7B57"/>
    <w:rsid w:val="00AB7B66"/>
    <w:rsid w:val="00AC045D"/>
    <w:rsid w:val="00AC16B9"/>
    <w:rsid w:val="00AC240A"/>
    <w:rsid w:val="00AC303C"/>
    <w:rsid w:val="00AC3E3B"/>
    <w:rsid w:val="00AC50B7"/>
    <w:rsid w:val="00AC709D"/>
    <w:rsid w:val="00AC7498"/>
    <w:rsid w:val="00AC765B"/>
    <w:rsid w:val="00AD0BFB"/>
    <w:rsid w:val="00AD0C47"/>
    <w:rsid w:val="00AD1489"/>
    <w:rsid w:val="00AD212E"/>
    <w:rsid w:val="00AD2919"/>
    <w:rsid w:val="00AD2DE7"/>
    <w:rsid w:val="00AD34BF"/>
    <w:rsid w:val="00AD3F0F"/>
    <w:rsid w:val="00AD41CF"/>
    <w:rsid w:val="00AD4591"/>
    <w:rsid w:val="00AD590B"/>
    <w:rsid w:val="00AD595D"/>
    <w:rsid w:val="00AD6FB6"/>
    <w:rsid w:val="00AE03F8"/>
    <w:rsid w:val="00AE0982"/>
    <w:rsid w:val="00AE0A92"/>
    <w:rsid w:val="00AE0C49"/>
    <w:rsid w:val="00AE0C62"/>
    <w:rsid w:val="00AE0E21"/>
    <w:rsid w:val="00AE15DB"/>
    <w:rsid w:val="00AE19C3"/>
    <w:rsid w:val="00AE2EF0"/>
    <w:rsid w:val="00AE2FA5"/>
    <w:rsid w:val="00AE4705"/>
    <w:rsid w:val="00AE47E8"/>
    <w:rsid w:val="00AE561F"/>
    <w:rsid w:val="00AE5DF5"/>
    <w:rsid w:val="00AE6058"/>
    <w:rsid w:val="00AE6078"/>
    <w:rsid w:val="00AE6133"/>
    <w:rsid w:val="00AE6BB8"/>
    <w:rsid w:val="00AE6D67"/>
    <w:rsid w:val="00AE712C"/>
    <w:rsid w:val="00AE7E16"/>
    <w:rsid w:val="00AF02E8"/>
    <w:rsid w:val="00AF273F"/>
    <w:rsid w:val="00AF276A"/>
    <w:rsid w:val="00AF3256"/>
    <w:rsid w:val="00AF3B5C"/>
    <w:rsid w:val="00AF42F4"/>
    <w:rsid w:val="00AF5DB9"/>
    <w:rsid w:val="00AF7072"/>
    <w:rsid w:val="00AF735E"/>
    <w:rsid w:val="00AF73E1"/>
    <w:rsid w:val="00B00390"/>
    <w:rsid w:val="00B01925"/>
    <w:rsid w:val="00B02E76"/>
    <w:rsid w:val="00B03320"/>
    <w:rsid w:val="00B03DA9"/>
    <w:rsid w:val="00B04387"/>
    <w:rsid w:val="00B04860"/>
    <w:rsid w:val="00B049FA"/>
    <w:rsid w:val="00B04B40"/>
    <w:rsid w:val="00B052DD"/>
    <w:rsid w:val="00B05772"/>
    <w:rsid w:val="00B05A80"/>
    <w:rsid w:val="00B05DB9"/>
    <w:rsid w:val="00B0607C"/>
    <w:rsid w:val="00B0693F"/>
    <w:rsid w:val="00B06ABF"/>
    <w:rsid w:val="00B07012"/>
    <w:rsid w:val="00B07067"/>
    <w:rsid w:val="00B074D7"/>
    <w:rsid w:val="00B0755B"/>
    <w:rsid w:val="00B076BF"/>
    <w:rsid w:val="00B1007E"/>
    <w:rsid w:val="00B10CE5"/>
    <w:rsid w:val="00B10F56"/>
    <w:rsid w:val="00B119A3"/>
    <w:rsid w:val="00B13900"/>
    <w:rsid w:val="00B13B6F"/>
    <w:rsid w:val="00B13CC5"/>
    <w:rsid w:val="00B1436D"/>
    <w:rsid w:val="00B15827"/>
    <w:rsid w:val="00B15FCF"/>
    <w:rsid w:val="00B16ADB"/>
    <w:rsid w:val="00B16F00"/>
    <w:rsid w:val="00B20AD4"/>
    <w:rsid w:val="00B218C0"/>
    <w:rsid w:val="00B21EFE"/>
    <w:rsid w:val="00B22167"/>
    <w:rsid w:val="00B227E6"/>
    <w:rsid w:val="00B22C44"/>
    <w:rsid w:val="00B231C5"/>
    <w:rsid w:val="00B23C77"/>
    <w:rsid w:val="00B2446E"/>
    <w:rsid w:val="00B24BAF"/>
    <w:rsid w:val="00B263B6"/>
    <w:rsid w:val="00B26A96"/>
    <w:rsid w:val="00B27614"/>
    <w:rsid w:val="00B27F14"/>
    <w:rsid w:val="00B27F5B"/>
    <w:rsid w:val="00B30316"/>
    <w:rsid w:val="00B30CCF"/>
    <w:rsid w:val="00B30CDD"/>
    <w:rsid w:val="00B30DB1"/>
    <w:rsid w:val="00B30ECE"/>
    <w:rsid w:val="00B30EEB"/>
    <w:rsid w:val="00B31791"/>
    <w:rsid w:val="00B317D2"/>
    <w:rsid w:val="00B334C3"/>
    <w:rsid w:val="00B33AC2"/>
    <w:rsid w:val="00B3489C"/>
    <w:rsid w:val="00B34DB4"/>
    <w:rsid w:val="00B35661"/>
    <w:rsid w:val="00B35A21"/>
    <w:rsid w:val="00B35ECE"/>
    <w:rsid w:val="00B3605C"/>
    <w:rsid w:val="00B36A75"/>
    <w:rsid w:val="00B36CF7"/>
    <w:rsid w:val="00B37435"/>
    <w:rsid w:val="00B374C2"/>
    <w:rsid w:val="00B40F87"/>
    <w:rsid w:val="00B4130C"/>
    <w:rsid w:val="00B41585"/>
    <w:rsid w:val="00B42C38"/>
    <w:rsid w:val="00B42F77"/>
    <w:rsid w:val="00B43EF5"/>
    <w:rsid w:val="00B441B1"/>
    <w:rsid w:val="00B44BEE"/>
    <w:rsid w:val="00B44F05"/>
    <w:rsid w:val="00B45045"/>
    <w:rsid w:val="00B451F9"/>
    <w:rsid w:val="00B455F2"/>
    <w:rsid w:val="00B45F7A"/>
    <w:rsid w:val="00B4607F"/>
    <w:rsid w:val="00B46290"/>
    <w:rsid w:val="00B47324"/>
    <w:rsid w:val="00B47650"/>
    <w:rsid w:val="00B47761"/>
    <w:rsid w:val="00B47920"/>
    <w:rsid w:val="00B47935"/>
    <w:rsid w:val="00B50316"/>
    <w:rsid w:val="00B51B61"/>
    <w:rsid w:val="00B5224F"/>
    <w:rsid w:val="00B526D1"/>
    <w:rsid w:val="00B528FC"/>
    <w:rsid w:val="00B52E83"/>
    <w:rsid w:val="00B52EA5"/>
    <w:rsid w:val="00B533DC"/>
    <w:rsid w:val="00B5372C"/>
    <w:rsid w:val="00B53ED6"/>
    <w:rsid w:val="00B545C7"/>
    <w:rsid w:val="00B54839"/>
    <w:rsid w:val="00B54B75"/>
    <w:rsid w:val="00B5502A"/>
    <w:rsid w:val="00B5547E"/>
    <w:rsid w:val="00B571A4"/>
    <w:rsid w:val="00B57523"/>
    <w:rsid w:val="00B60DB6"/>
    <w:rsid w:val="00B613FF"/>
    <w:rsid w:val="00B61679"/>
    <w:rsid w:val="00B630FE"/>
    <w:rsid w:val="00B632F9"/>
    <w:rsid w:val="00B6399E"/>
    <w:rsid w:val="00B65376"/>
    <w:rsid w:val="00B6541E"/>
    <w:rsid w:val="00B658C3"/>
    <w:rsid w:val="00B659E1"/>
    <w:rsid w:val="00B65A4F"/>
    <w:rsid w:val="00B66393"/>
    <w:rsid w:val="00B66C54"/>
    <w:rsid w:val="00B67254"/>
    <w:rsid w:val="00B67A16"/>
    <w:rsid w:val="00B70A01"/>
    <w:rsid w:val="00B7345D"/>
    <w:rsid w:val="00B74764"/>
    <w:rsid w:val="00B75D0B"/>
    <w:rsid w:val="00B763DF"/>
    <w:rsid w:val="00B76770"/>
    <w:rsid w:val="00B76F8A"/>
    <w:rsid w:val="00B77BFE"/>
    <w:rsid w:val="00B77F89"/>
    <w:rsid w:val="00B77FA6"/>
    <w:rsid w:val="00B80B49"/>
    <w:rsid w:val="00B8144B"/>
    <w:rsid w:val="00B815BD"/>
    <w:rsid w:val="00B83878"/>
    <w:rsid w:val="00B84576"/>
    <w:rsid w:val="00B85746"/>
    <w:rsid w:val="00B858B9"/>
    <w:rsid w:val="00B85EEE"/>
    <w:rsid w:val="00B869BC"/>
    <w:rsid w:val="00B8762E"/>
    <w:rsid w:val="00B8786F"/>
    <w:rsid w:val="00B87C79"/>
    <w:rsid w:val="00B87EBA"/>
    <w:rsid w:val="00B9082D"/>
    <w:rsid w:val="00B91603"/>
    <w:rsid w:val="00B9237D"/>
    <w:rsid w:val="00B93617"/>
    <w:rsid w:val="00B93CA9"/>
    <w:rsid w:val="00B93CFF"/>
    <w:rsid w:val="00B93EB0"/>
    <w:rsid w:val="00B93F7B"/>
    <w:rsid w:val="00B94476"/>
    <w:rsid w:val="00B95C84"/>
    <w:rsid w:val="00B966FB"/>
    <w:rsid w:val="00B96C0E"/>
    <w:rsid w:val="00B96D10"/>
    <w:rsid w:val="00B96DED"/>
    <w:rsid w:val="00B96F2B"/>
    <w:rsid w:val="00B97168"/>
    <w:rsid w:val="00B97228"/>
    <w:rsid w:val="00B974F0"/>
    <w:rsid w:val="00B97706"/>
    <w:rsid w:val="00B97B2B"/>
    <w:rsid w:val="00B97B5F"/>
    <w:rsid w:val="00BA00C5"/>
    <w:rsid w:val="00BA0AB5"/>
    <w:rsid w:val="00BA22E3"/>
    <w:rsid w:val="00BA350B"/>
    <w:rsid w:val="00BA44B9"/>
    <w:rsid w:val="00BA48F3"/>
    <w:rsid w:val="00BA514C"/>
    <w:rsid w:val="00BA52D7"/>
    <w:rsid w:val="00BA626F"/>
    <w:rsid w:val="00BA7875"/>
    <w:rsid w:val="00BA7934"/>
    <w:rsid w:val="00BA7D66"/>
    <w:rsid w:val="00BB080E"/>
    <w:rsid w:val="00BB0B6E"/>
    <w:rsid w:val="00BB12AC"/>
    <w:rsid w:val="00BB2215"/>
    <w:rsid w:val="00BB3147"/>
    <w:rsid w:val="00BB36F8"/>
    <w:rsid w:val="00BB3C1A"/>
    <w:rsid w:val="00BB4515"/>
    <w:rsid w:val="00BB5780"/>
    <w:rsid w:val="00BB648B"/>
    <w:rsid w:val="00BB690C"/>
    <w:rsid w:val="00BB745A"/>
    <w:rsid w:val="00BB775F"/>
    <w:rsid w:val="00BB7EE3"/>
    <w:rsid w:val="00BC07EC"/>
    <w:rsid w:val="00BC0883"/>
    <w:rsid w:val="00BC0DD0"/>
    <w:rsid w:val="00BC12E5"/>
    <w:rsid w:val="00BC2E81"/>
    <w:rsid w:val="00BC31F6"/>
    <w:rsid w:val="00BC3790"/>
    <w:rsid w:val="00BC39F7"/>
    <w:rsid w:val="00BC3EBC"/>
    <w:rsid w:val="00BC5DA8"/>
    <w:rsid w:val="00BC76A6"/>
    <w:rsid w:val="00BD03B7"/>
    <w:rsid w:val="00BD1234"/>
    <w:rsid w:val="00BD26E0"/>
    <w:rsid w:val="00BD28E4"/>
    <w:rsid w:val="00BD2993"/>
    <w:rsid w:val="00BD2D30"/>
    <w:rsid w:val="00BD3001"/>
    <w:rsid w:val="00BD3864"/>
    <w:rsid w:val="00BD3C94"/>
    <w:rsid w:val="00BD649B"/>
    <w:rsid w:val="00BD6DD2"/>
    <w:rsid w:val="00BD6F16"/>
    <w:rsid w:val="00BD7950"/>
    <w:rsid w:val="00BD7E6E"/>
    <w:rsid w:val="00BE0638"/>
    <w:rsid w:val="00BE1782"/>
    <w:rsid w:val="00BE2195"/>
    <w:rsid w:val="00BE21CE"/>
    <w:rsid w:val="00BE2911"/>
    <w:rsid w:val="00BE35B8"/>
    <w:rsid w:val="00BE3765"/>
    <w:rsid w:val="00BE37BC"/>
    <w:rsid w:val="00BE41F6"/>
    <w:rsid w:val="00BE44D1"/>
    <w:rsid w:val="00BE4574"/>
    <w:rsid w:val="00BE4CA3"/>
    <w:rsid w:val="00BE4D28"/>
    <w:rsid w:val="00BE5867"/>
    <w:rsid w:val="00BE5D98"/>
    <w:rsid w:val="00BE6279"/>
    <w:rsid w:val="00BE6D06"/>
    <w:rsid w:val="00BE70D0"/>
    <w:rsid w:val="00BE7123"/>
    <w:rsid w:val="00BE7789"/>
    <w:rsid w:val="00BF10A5"/>
    <w:rsid w:val="00BF1172"/>
    <w:rsid w:val="00BF11F4"/>
    <w:rsid w:val="00BF124E"/>
    <w:rsid w:val="00BF1C3C"/>
    <w:rsid w:val="00BF2841"/>
    <w:rsid w:val="00BF28D9"/>
    <w:rsid w:val="00BF62D3"/>
    <w:rsid w:val="00BF7446"/>
    <w:rsid w:val="00BF7CA9"/>
    <w:rsid w:val="00BF7EE9"/>
    <w:rsid w:val="00C001DA"/>
    <w:rsid w:val="00C004EF"/>
    <w:rsid w:val="00C00C9E"/>
    <w:rsid w:val="00C017AF"/>
    <w:rsid w:val="00C01928"/>
    <w:rsid w:val="00C022DF"/>
    <w:rsid w:val="00C02B6E"/>
    <w:rsid w:val="00C03348"/>
    <w:rsid w:val="00C045F9"/>
    <w:rsid w:val="00C04CF1"/>
    <w:rsid w:val="00C05AF3"/>
    <w:rsid w:val="00C05C0C"/>
    <w:rsid w:val="00C061BA"/>
    <w:rsid w:val="00C06637"/>
    <w:rsid w:val="00C06A20"/>
    <w:rsid w:val="00C07583"/>
    <w:rsid w:val="00C07E56"/>
    <w:rsid w:val="00C10259"/>
    <w:rsid w:val="00C10E48"/>
    <w:rsid w:val="00C11489"/>
    <w:rsid w:val="00C117F5"/>
    <w:rsid w:val="00C12034"/>
    <w:rsid w:val="00C121E6"/>
    <w:rsid w:val="00C124FF"/>
    <w:rsid w:val="00C1283D"/>
    <w:rsid w:val="00C12978"/>
    <w:rsid w:val="00C13B26"/>
    <w:rsid w:val="00C14C59"/>
    <w:rsid w:val="00C15D0A"/>
    <w:rsid w:val="00C16280"/>
    <w:rsid w:val="00C1643A"/>
    <w:rsid w:val="00C1698E"/>
    <w:rsid w:val="00C1716C"/>
    <w:rsid w:val="00C17E31"/>
    <w:rsid w:val="00C17EC4"/>
    <w:rsid w:val="00C20F1E"/>
    <w:rsid w:val="00C21419"/>
    <w:rsid w:val="00C221D4"/>
    <w:rsid w:val="00C2263C"/>
    <w:rsid w:val="00C22B97"/>
    <w:rsid w:val="00C2355E"/>
    <w:rsid w:val="00C2396E"/>
    <w:rsid w:val="00C240E4"/>
    <w:rsid w:val="00C24B76"/>
    <w:rsid w:val="00C25353"/>
    <w:rsid w:val="00C26A04"/>
    <w:rsid w:val="00C2752F"/>
    <w:rsid w:val="00C3044C"/>
    <w:rsid w:val="00C304B2"/>
    <w:rsid w:val="00C30BD7"/>
    <w:rsid w:val="00C30D8D"/>
    <w:rsid w:val="00C30EE1"/>
    <w:rsid w:val="00C3198B"/>
    <w:rsid w:val="00C325A8"/>
    <w:rsid w:val="00C32C9B"/>
    <w:rsid w:val="00C32D18"/>
    <w:rsid w:val="00C3366E"/>
    <w:rsid w:val="00C34A3A"/>
    <w:rsid w:val="00C352B8"/>
    <w:rsid w:val="00C35C08"/>
    <w:rsid w:val="00C374D0"/>
    <w:rsid w:val="00C37673"/>
    <w:rsid w:val="00C3796C"/>
    <w:rsid w:val="00C4094E"/>
    <w:rsid w:val="00C41194"/>
    <w:rsid w:val="00C41BCD"/>
    <w:rsid w:val="00C4218F"/>
    <w:rsid w:val="00C4270E"/>
    <w:rsid w:val="00C432B0"/>
    <w:rsid w:val="00C446EA"/>
    <w:rsid w:val="00C448DA"/>
    <w:rsid w:val="00C44ED7"/>
    <w:rsid w:val="00C44F6A"/>
    <w:rsid w:val="00C44F7C"/>
    <w:rsid w:val="00C46883"/>
    <w:rsid w:val="00C47009"/>
    <w:rsid w:val="00C5017C"/>
    <w:rsid w:val="00C50A06"/>
    <w:rsid w:val="00C50AD4"/>
    <w:rsid w:val="00C5162E"/>
    <w:rsid w:val="00C524CD"/>
    <w:rsid w:val="00C52943"/>
    <w:rsid w:val="00C53CC5"/>
    <w:rsid w:val="00C545E6"/>
    <w:rsid w:val="00C552DB"/>
    <w:rsid w:val="00C5551D"/>
    <w:rsid w:val="00C560D5"/>
    <w:rsid w:val="00C603EE"/>
    <w:rsid w:val="00C6167A"/>
    <w:rsid w:val="00C638A5"/>
    <w:rsid w:val="00C6399E"/>
    <w:rsid w:val="00C665B1"/>
    <w:rsid w:val="00C666C7"/>
    <w:rsid w:val="00C6777E"/>
    <w:rsid w:val="00C6792F"/>
    <w:rsid w:val="00C67DEB"/>
    <w:rsid w:val="00C7335D"/>
    <w:rsid w:val="00C73D55"/>
    <w:rsid w:val="00C73E65"/>
    <w:rsid w:val="00C7426E"/>
    <w:rsid w:val="00C74A2A"/>
    <w:rsid w:val="00C75BDC"/>
    <w:rsid w:val="00C800C8"/>
    <w:rsid w:val="00C80C92"/>
    <w:rsid w:val="00C80D57"/>
    <w:rsid w:val="00C81714"/>
    <w:rsid w:val="00C8251D"/>
    <w:rsid w:val="00C830F0"/>
    <w:rsid w:val="00C83865"/>
    <w:rsid w:val="00C83AAE"/>
    <w:rsid w:val="00C8420C"/>
    <w:rsid w:val="00C847E7"/>
    <w:rsid w:val="00C84DB3"/>
    <w:rsid w:val="00C84E86"/>
    <w:rsid w:val="00C85208"/>
    <w:rsid w:val="00C8674E"/>
    <w:rsid w:val="00C86D46"/>
    <w:rsid w:val="00C9124F"/>
    <w:rsid w:val="00C91A8A"/>
    <w:rsid w:val="00C91B80"/>
    <w:rsid w:val="00C93B28"/>
    <w:rsid w:val="00C94698"/>
    <w:rsid w:val="00C94759"/>
    <w:rsid w:val="00C94E07"/>
    <w:rsid w:val="00C953ED"/>
    <w:rsid w:val="00C95865"/>
    <w:rsid w:val="00C95AE3"/>
    <w:rsid w:val="00C95CC7"/>
    <w:rsid w:val="00C962D5"/>
    <w:rsid w:val="00C96C01"/>
    <w:rsid w:val="00C97F13"/>
    <w:rsid w:val="00CA05EB"/>
    <w:rsid w:val="00CA07CA"/>
    <w:rsid w:val="00CA2DF9"/>
    <w:rsid w:val="00CA31AD"/>
    <w:rsid w:val="00CA4E6E"/>
    <w:rsid w:val="00CA5F24"/>
    <w:rsid w:val="00CA6866"/>
    <w:rsid w:val="00CA75AC"/>
    <w:rsid w:val="00CB04CB"/>
    <w:rsid w:val="00CB2016"/>
    <w:rsid w:val="00CB314C"/>
    <w:rsid w:val="00CB385D"/>
    <w:rsid w:val="00CB404D"/>
    <w:rsid w:val="00CB44CE"/>
    <w:rsid w:val="00CB483F"/>
    <w:rsid w:val="00CB4996"/>
    <w:rsid w:val="00CB5691"/>
    <w:rsid w:val="00CB5CC1"/>
    <w:rsid w:val="00CB61F1"/>
    <w:rsid w:val="00CB6416"/>
    <w:rsid w:val="00CB6617"/>
    <w:rsid w:val="00CB693A"/>
    <w:rsid w:val="00CB74FD"/>
    <w:rsid w:val="00CB7614"/>
    <w:rsid w:val="00CB76BA"/>
    <w:rsid w:val="00CB774D"/>
    <w:rsid w:val="00CC03B1"/>
    <w:rsid w:val="00CC0D6E"/>
    <w:rsid w:val="00CC1AE8"/>
    <w:rsid w:val="00CC3A8C"/>
    <w:rsid w:val="00CC3B9F"/>
    <w:rsid w:val="00CC3EE7"/>
    <w:rsid w:val="00CC4295"/>
    <w:rsid w:val="00CC616D"/>
    <w:rsid w:val="00CC65D6"/>
    <w:rsid w:val="00CC7B4D"/>
    <w:rsid w:val="00CC7F72"/>
    <w:rsid w:val="00CD0F22"/>
    <w:rsid w:val="00CD1CC7"/>
    <w:rsid w:val="00CD1F59"/>
    <w:rsid w:val="00CD2983"/>
    <w:rsid w:val="00CD3017"/>
    <w:rsid w:val="00CD387F"/>
    <w:rsid w:val="00CD485A"/>
    <w:rsid w:val="00CD4907"/>
    <w:rsid w:val="00CD4AED"/>
    <w:rsid w:val="00CD4E51"/>
    <w:rsid w:val="00CD52EA"/>
    <w:rsid w:val="00CD5B06"/>
    <w:rsid w:val="00CD5EBE"/>
    <w:rsid w:val="00CD7147"/>
    <w:rsid w:val="00CD74C5"/>
    <w:rsid w:val="00CD768D"/>
    <w:rsid w:val="00CD7935"/>
    <w:rsid w:val="00CE062B"/>
    <w:rsid w:val="00CE155C"/>
    <w:rsid w:val="00CE1790"/>
    <w:rsid w:val="00CE1977"/>
    <w:rsid w:val="00CE199C"/>
    <w:rsid w:val="00CE1C9B"/>
    <w:rsid w:val="00CE2608"/>
    <w:rsid w:val="00CE2BD9"/>
    <w:rsid w:val="00CE2C8C"/>
    <w:rsid w:val="00CE2ED4"/>
    <w:rsid w:val="00CE3023"/>
    <w:rsid w:val="00CE3C3B"/>
    <w:rsid w:val="00CE4791"/>
    <w:rsid w:val="00CE6117"/>
    <w:rsid w:val="00CE6975"/>
    <w:rsid w:val="00CE6ACA"/>
    <w:rsid w:val="00CE787E"/>
    <w:rsid w:val="00CE7F8E"/>
    <w:rsid w:val="00CF02D4"/>
    <w:rsid w:val="00CF083C"/>
    <w:rsid w:val="00CF0DA8"/>
    <w:rsid w:val="00CF1805"/>
    <w:rsid w:val="00CF1BF6"/>
    <w:rsid w:val="00CF1DEC"/>
    <w:rsid w:val="00CF1E91"/>
    <w:rsid w:val="00CF30AA"/>
    <w:rsid w:val="00CF3A52"/>
    <w:rsid w:val="00CF3BF5"/>
    <w:rsid w:val="00CF529C"/>
    <w:rsid w:val="00CF547D"/>
    <w:rsid w:val="00CF704D"/>
    <w:rsid w:val="00D002BA"/>
    <w:rsid w:val="00D00CD5"/>
    <w:rsid w:val="00D00E52"/>
    <w:rsid w:val="00D01D75"/>
    <w:rsid w:val="00D0262D"/>
    <w:rsid w:val="00D026CB"/>
    <w:rsid w:val="00D02AE5"/>
    <w:rsid w:val="00D02E1C"/>
    <w:rsid w:val="00D03F78"/>
    <w:rsid w:val="00D04071"/>
    <w:rsid w:val="00D041EA"/>
    <w:rsid w:val="00D043F9"/>
    <w:rsid w:val="00D04DC2"/>
    <w:rsid w:val="00D055E3"/>
    <w:rsid w:val="00D05907"/>
    <w:rsid w:val="00D06262"/>
    <w:rsid w:val="00D064F3"/>
    <w:rsid w:val="00D06C07"/>
    <w:rsid w:val="00D10960"/>
    <w:rsid w:val="00D118D3"/>
    <w:rsid w:val="00D11926"/>
    <w:rsid w:val="00D11EBD"/>
    <w:rsid w:val="00D1223C"/>
    <w:rsid w:val="00D123F1"/>
    <w:rsid w:val="00D13112"/>
    <w:rsid w:val="00D1433C"/>
    <w:rsid w:val="00D1472E"/>
    <w:rsid w:val="00D14BCC"/>
    <w:rsid w:val="00D14D3B"/>
    <w:rsid w:val="00D15571"/>
    <w:rsid w:val="00D15C71"/>
    <w:rsid w:val="00D15CA1"/>
    <w:rsid w:val="00D20992"/>
    <w:rsid w:val="00D209FD"/>
    <w:rsid w:val="00D20B44"/>
    <w:rsid w:val="00D20D7A"/>
    <w:rsid w:val="00D212C1"/>
    <w:rsid w:val="00D214B0"/>
    <w:rsid w:val="00D2155F"/>
    <w:rsid w:val="00D2189F"/>
    <w:rsid w:val="00D21CCF"/>
    <w:rsid w:val="00D2215E"/>
    <w:rsid w:val="00D22FEE"/>
    <w:rsid w:val="00D2359C"/>
    <w:rsid w:val="00D2378C"/>
    <w:rsid w:val="00D2389A"/>
    <w:rsid w:val="00D24030"/>
    <w:rsid w:val="00D243C5"/>
    <w:rsid w:val="00D24B8D"/>
    <w:rsid w:val="00D26F2E"/>
    <w:rsid w:val="00D3016C"/>
    <w:rsid w:val="00D3051B"/>
    <w:rsid w:val="00D30F96"/>
    <w:rsid w:val="00D31009"/>
    <w:rsid w:val="00D3196D"/>
    <w:rsid w:val="00D3263B"/>
    <w:rsid w:val="00D33D09"/>
    <w:rsid w:val="00D34343"/>
    <w:rsid w:val="00D3454D"/>
    <w:rsid w:val="00D36B26"/>
    <w:rsid w:val="00D3793C"/>
    <w:rsid w:val="00D40A58"/>
    <w:rsid w:val="00D41A70"/>
    <w:rsid w:val="00D41B88"/>
    <w:rsid w:val="00D41D9B"/>
    <w:rsid w:val="00D41F91"/>
    <w:rsid w:val="00D435EE"/>
    <w:rsid w:val="00D43DAB"/>
    <w:rsid w:val="00D444B7"/>
    <w:rsid w:val="00D445F1"/>
    <w:rsid w:val="00D44B25"/>
    <w:rsid w:val="00D45207"/>
    <w:rsid w:val="00D4543E"/>
    <w:rsid w:val="00D45B0C"/>
    <w:rsid w:val="00D45B22"/>
    <w:rsid w:val="00D45B94"/>
    <w:rsid w:val="00D4721B"/>
    <w:rsid w:val="00D47365"/>
    <w:rsid w:val="00D47D82"/>
    <w:rsid w:val="00D50AC9"/>
    <w:rsid w:val="00D5152C"/>
    <w:rsid w:val="00D51980"/>
    <w:rsid w:val="00D51B62"/>
    <w:rsid w:val="00D52064"/>
    <w:rsid w:val="00D52C35"/>
    <w:rsid w:val="00D52DB3"/>
    <w:rsid w:val="00D5315E"/>
    <w:rsid w:val="00D534D8"/>
    <w:rsid w:val="00D53950"/>
    <w:rsid w:val="00D544E0"/>
    <w:rsid w:val="00D54BC1"/>
    <w:rsid w:val="00D54C0F"/>
    <w:rsid w:val="00D54D8C"/>
    <w:rsid w:val="00D56A4D"/>
    <w:rsid w:val="00D5718E"/>
    <w:rsid w:val="00D60C65"/>
    <w:rsid w:val="00D61380"/>
    <w:rsid w:val="00D62F6D"/>
    <w:rsid w:val="00D62F89"/>
    <w:rsid w:val="00D63E89"/>
    <w:rsid w:val="00D64510"/>
    <w:rsid w:val="00D64A0F"/>
    <w:rsid w:val="00D64A60"/>
    <w:rsid w:val="00D64FF2"/>
    <w:rsid w:val="00D650AE"/>
    <w:rsid w:val="00D65614"/>
    <w:rsid w:val="00D65766"/>
    <w:rsid w:val="00D65CEF"/>
    <w:rsid w:val="00D65E0A"/>
    <w:rsid w:val="00D65E80"/>
    <w:rsid w:val="00D66040"/>
    <w:rsid w:val="00D677D0"/>
    <w:rsid w:val="00D704E7"/>
    <w:rsid w:val="00D7070B"/>
    <w:rsid w:val="00D71920"/>
    <w:rsid w:val="00D72B0D"/>
    <w:rsid w:val="00D7326A"/>
    <w:rsid w:val="00D73DB9"/>
    <w:rsid w:val="00D74C5A"/>
    <w:rsid w:val="00D75610"/>
    <w:rsid w:val="00D756C5"/>
    <w:rsid w:val="00D767E8"/>
    <w:rsid w:val="00D76DF8"/>
    <w:rsid w:val="00D77055"/>
    <w:rsid w:val="00D77073"/>
    <w:rsid w:val="00D7783F"/>
    <w:rsid w:val="00D7788E"/>
    <w:rsid w:val="00D77A9E"/>
    <w:rsid w:val="00D77CDB"/>
    <w:rsid w:val="00D81688"/>
    <w:rsid w:val="00D82771"/>
    <w:rsid w:val="00D82B48"/>
    <w:rsid w:val="00D83742"/>
    <w:rsid w:val="00D83D4B"/>
    <w:rsid w:val="00D84C7B"/>
    <w:rsid w:val="00D853C2"/>
    <w:rsid w:val="00D85AB9"/>
    <w:rsid w:val="00D868AD"/>
    <w:rsid w:val="00D87178"/>
    <w:rsid w:val="00D87A06"/>
    <w:rsid w:val="00D90025"/>
    <w:rsid w:val="00D903B2"/>
    <w:rsid w:val="00D90B4B"/>
    <w:rsid w:val="00D916E6"/>
    <w:rsid w:val="00D91C98"/>
    <w:rsid w:val="00D92AB7"/>
    <w:rsid w:val="00D92BD6"/>
    <w:rsid w:val="00D93BE4"/>
    <w:rsid w:val="00D940E6"/>
    <w:rsid w:val="00D94549"/>
    <w:rsid w:val="00D94704"/>
    <w:rsid w:val="00D94AC6"/>
    <w:rsid w:val="00D94BF7"/>
    <w:rsid w:val="00D94FD2"/>
    <w:rsid w:val="00D95C52"/>
    <w:rsid w:val="00D96905"/>
    <w:rsid w:val="00D96BA4"/>
    <w:rsid w:val="00D96F6A"/>
    <w:rsid w:val="00D97601"/>
    <w:rsid w:val="00D97B4D"/>
    <w:rsid w:val="00DA029C"/>
    <w:rsid w:val="00DA0439"/>
    <w:rsid w:val="00DA052C"/>
    <w:rsid w:val="00DA17DF"/>
    <w:rsid w:val="00DA1D5F"/>
    <w:rsid w:val="00DA1E47"/>
    <w:rsid w:val="00DA204B"/>
    <w:rsid w:val="00DA2773"/>
    <w:rsid w:val="00DA2ADC"/>
    <w:rsid w:val="00DA2B87"/>
    <w:rsid w:val="00DA2BCB"/>
    <w:rsid w:val="00DA41D1"/>
    <w:rsid w:val="00DA4A87"/>
    <w:rsid w:val="00DA4B46"/>
    <w:rsid w:val="00DA5CFA"/>
    <w:rsid w:val="00DA5D55"/>
    <w:rsid w:val="00DA6E98"/>
    <w:rsid w:val="00DA735D"/>
    <w:rsid w:val="00DA77DE"/>
    <w:rsid w:val="00DA7BD3"/>
    <w:rsid w:val="00DB07FC"/>
    <w:rsid w:val="00DB0C13"/>
    <w:rsid w:val="00DB0C92"/>
    <w:rsid w:val="00DB0EA8"/>
    <w:rsid w:val="00DB177D"/>
    <w:rsid w:val="00DB1A65"/>
    <w:rsid w:val="00DB1FB6"/>
    <w:rsid w:val="00DB20FE"/>
    <w:rsid w:val="00DB2BE7"/>
    <w:rsid w:val="00DB3E3E"/>
    <w:rsid w:val="00DB4EE1"/>
    <w:rsid w:val="00DB57D7"/>
    <w:rsid w:val="00DB5933"/>
    <w:rsid w:val="00DB61A2"/>
    <w:rsid w:val="00DB725D"/>
    <w:rsid w:val="00DC009D"/>
    <w:rsid w:val="00DC038B"/>
    <w:rsid w:val="00DC0468"/>
    <w:rsid w:val="00DC0582"/>
    <w:rsid w:val="00DC06D9"/>
    <w:rsid w:val="00DC0F96"/>
    <w:rsid w:val="00DC23B9"/>
    <w:rsid w:val="00DC32B7"/>
    <w:rsid w:val="00DC39BE"/>
    <w:rsid w:val="00DC3C92"/>
    <w:rsid w:val="00DC4B1B"/>
    <w:rsid w:val="00DC545D"/>
    <w:rsid w:val="00DC78E1"/>
    <w:rsid w:val="00DD0801"/>
    <w:rsid w:val="00DD0BFD"/>
    <w:rsid w:val="00DD2A14"/>
    <w:rsid w:val="00DD3882"/>
    <w:rsid w:val="00DD3DE2"/>
    <w:rsid w:val="00DD534E"/>
    <w:rsid w:val="00DD5994"/>
    <w:rsid w:val="00DD60A1"/>
    <w:rsid w:val="00DD7004"/>
    <w:rsid w:val="00DD7706"/>
    <w:rsid w:val="00DD7885"/>
    <w:rsid w:val="00DE01B1"/>
    <w:rsid w:val="00DE12AB"/>
    <w:rsid w:val="00DE16C7"/>
    <w:rsid w:val="00DE1886"/>
    <w:rsid w:val="00DE2462"/>
    <w:rsid w:val="00DE2B0B"/>
    <w:rsid w:val="00DE2CF8"/>
    <w:rsid w:val="00DE3F6B"/>
    <w:rsid w:val="00DE5207"/>
    <w:rsid w:val="00DE5AE1"/>
    <w:rsid w:val="00DE6772"/>
    <w:rsid w:val="00DE68A2"/>
    <w:rsid w:val="00DE784B"/>
    <w:rsid w:val="00DF1AD6"/>
    <w:rsid w:val="00DF27AF"/>
    <w:rsid w:val="00DF354C"/>
    <w:rsid w:val="00DF4B9B"/>
    <w:rsid w:val="00DF5156"/>
    <w:rsid w:val="00DF5D7C"/>
    <w:rsid w:val="00DF6448"/>
    <w:rsid w:val="00DF6823"/>
    <w:rsid w:val="00DF7216"/>
    <w:rsid w:val="00E007C2"/>
    <w:rsid w:val="00E02795"/>
    <w:rsid w:val="00E02CEC"/>
    <w:rsid w:val="00E034D4"/>
    <w:rsid w:val="00E034E1"/>
    <w:rsid w:val="00E0432D"/>
    <w:rsid w:val="00E05566"/>
    <w:rsid w:val="00E066D5"/>
    <w:rsid w:val="00E07AF3"/>
    <w:rsid w:val="00E105B0"/>
    <w:rsid w:val="00E11B42"/>
    <w:rsid w:val="00E12608"/>
    <w:rsid w:val="00E12E48"/>
    <w:rsid w:val="00E1427D"/>
    <w:rsid w:val="00E150ED"/>
    <w:rsid w:val="00E152B5"/>
    <w:rsid w:val="00E1585B"/>
    <w:rsid w:val="00E15AC1"/>
    <w:rsid w:val="00E16A17"/>
    <w:rsid w:val="00E16A1C"/>
    <w:rsid w:val="00E16C1F"/>
    <w:rsid w:val="00E16E37"/>
    <w:rsid w:val="00E20130"/>
    <w:rsid w:val="00E205E9"/>
    <w:rsid w:val="00E210DC"/>
    <w:rsid w:val="00E21649"/>
    <w:rsid w:val="00E22A3C"/>
    <w:rsid w:val="00E22ECA"/>
    <w:rsid w:val="00E23C52"/>
    <w:rsid w:val="00E23CBC"/>
    <w:rsid w:val="00E24A73"/>
    <w:rsid w:val="00E24ED8"/>
    <w:rsid w:val="00E25332"/>
    <w:rsid w:val="00E2618B"/>
    <w:rsid w:val="00E2620F"/>
    <w:rsid w:val="00E30A47"/>
    <w:rsid w:val="00E3150E"/>
    <w:rsid w:val="00E319F0"/>
    <w:rsid w:val="00E32CBF"/>
    <w:rsid w:val="00E336BD"/>
    <w:rsid w:val="00E33A61"/>
    <w:rsid w:val="00E33C1F"/>
    <w:rsid w:val="00E33FD4"/>
    <w:rsid w:val="00E3566A"/>
    <w:rsid w:val="00E35A09"/>
    <w:rsid w:val="00E35C31"/>
    <w:rsid w:val="00E36CD1"/>
    <w:rsid w:val="00E37122"/>
    <w:rsid w:val="00E37500"/>
    <w:rsid w:val="00E401F6"/>
    <w:rsid w:val="00E41A88"/>
    <w:rsid w:val="00E420F7"/>
    <w:rsid w:val="00E426A1"/>
    <w:rsid w:val="00E42715"/>
    <w:rsid w:val="00E4316E"/>
    <w:rsid w:val="00E43738"/>
    <w:rsid w:val="00E43B63"/>
    <w:rsid w:val="00E43F1B"/>
    <w:rsid w:val="00E447BB"/>
    <w:rsid w:val="00E4492C"/>
    <w:rsid w:val="00E45267"/>
    <w:rsid w:val="00E46567"/>
    <w:rsid w:val="00E46EAF"/>
    <w:rsid w:val="00E47D9B"/>
    <w:rsid w:val="00E5065F"/>
    <w:rsid w:val="00E5188D"/>
    <w:rsid w:val="00E51EAB"/>
    <w:rsid w:val="00E522B2"/>
    <w:rsid w:val="00E531FF"/>
    <w:rsid w:val="00E54AD6"/>
    <w:rsid w:val="00E54F62"/>
    <w:rsid w:val="00E565ED"/>
    <w:rsid w:val="00E56C02"/>
    <w:rsid w:val="00E57498"/>
    <w:rsid w:val="00E578CF"/>
    <w:rsid w:val="00E57CFF"/>
    <w:rsid w:val="00E60688"/>
    <w:rsid w:val="00E625DF"/>
    <w:rsid w:val="00E62BC2"/>
    <w:rsid w:val="00E62C8E"/>
    <w:rsid w:val="00E635F9"/>
    <w:rsid w:val="00E63656"/>
    <w:rsid w:val="00E64745"/>
    <w:rsid w:val="00E66201"/>
    <w:rsid w:val="00E666C1"/>
    <w:rsid w:val="00E67D20"/>
    <w:rsid w:val="00E701A1"/>
    <w:rsid w:val="00E7045A"/>
    <w:rsid w:val="00E709D7"/>
    <w:rsid w:val="00E721C8"/>
    <w:rsid w:val="00E72642"/>
    <w:rsid w:val="00E73BF3"/>
    <w:rsid w:val="00E75239"/>
    <w:rsid w:val="00E75CCE"/>
    <w:rsid w:val="00E75E45"/>
    <w:rsid w:val="00E76058"/>
    <w:rsid w:val="00E76D3C"/>
    <w:rsid w:val="00E76FC5"/>
    <w:rsid w:val="00E7706F"/>
    <w:rsid w:val="00E770EF"/>
    <w:rsid w:val="00E77778"/>
    <w:rsid w:val="00E77DB7"/>
    <w:rsid w:val="00E81628"/>
    <w:rsid w:val="00E8188D"/>
    <w:rsid w:val="00E822A3"/>
    <w:rsid w:val="00E82A60"/>
    <w:rsid w:val="00E8418F"/>
    <w:rsid w:val="00E8457F"/>
    <w:rsid w:val="00E86057"/>
    <w:rsid w:val="00E868F0"/>
    <w:rsid w:val="00E86F3C"/>
    <w:rsid w:val="00E90421"/>
    <w:rsid w:val="00E909F9"/>
    <w:rsid w:val="00E90BB9"/>
    <w:rsid w:val="00E91B67"/>
    <w:rsid w:val="00E91D25"/>
    <w:rsid w:val="00E91E17"/>
    <w:rsid w:val="00E91F00"/>
    <w:rsid w:val="00E9200A"/>
    <w:rsid w:val="00E92D78"/>
    <w:rsid w:val="00E934E3"/>
    <w:rsid w:val="00E93C0E"/>
    <w:rsid w:val="00E95058"/>
    <w:rsid w:val="00E95613"/>
    <w:rsid w:val="00E9562C"/>
    <w:rsid w:val="00E9622A"/>
    <w:rsid w:val="00E96CE0"/>
    <w:rsid w:val="00E97295"/>
    <w:rsid w:val="00E97DC0"/>
    <w:rsid w:val="00EA0767"/>
    <w:rsid w:val="00EA2224"/>
    <w:rsid w:val="00EA30C2"/>
    <w:rsid w:val="00EA45B1"/>
    <w:rsid w:val="00EA46ED"/>
    <w:rsid w:val="00EA53F5"/>
    <w:rsid w:val="00EA5C6E"/>
    <w:rsid w:val="00EA6096"/>
    <w:rsid w:val="00EA6614"/>
    <w:rsid w:val="00EA6639"/>
    <w:rsid w:val="00EA67C9"/>
    <w:rsid w:val="00EA730F"/>
    <w:rsid w:val="00EA7C4E"/>
    <w:rsid w:val="00EB07D0"/>
    <w:rsid w:val="00EB0E6A"/>
    <w:rsid w:val="00EB1582"/>
    <w:rsid w:val="00EB191D"/>
    <w:rsid w:val="00EB1C7B"/>
    <w:rsid w:val="00EB327F"/>
    <w:rsid w:val="00EB32B5"/>
    <w:rsid w:val="00EB38AE"/>
    <w:rsid w:val="00EB4312"/>
    <w:rsid w:val="00EB482E"/>
    <w:rsid w:val="00EB4FCA"/>
    <w:rsid w:val="00EB50CB"/>
    <w:rsid w:val="00EB5C95"/>
    <w:rsid w:val="00EB747D"/>
    <w:rsid w:val="00EB77F9"/>
    <w:rsid w:val="00EB788A"/>
    <w:rsid w:val="00EC0F92"/>
    <w:rsid w:val="00EC2C5C"/>
    <w:rsid w:val="00EC32A0"/>
    <w:rsid w:val="00EC4063"/>
    <w:rsid w:val="00EC4659"/>
    <w:rsid w:val="00EC4FD4"/>
    <w:rsid w:val="00EC52AF"/>
    <w:rsid w:val="00EC5A07"/>
    <w:rsid w:val="00EC63E3"/>
    <w:rsid w:val="00EC6CA8"/>
    <w:rsid w:val="00EC7A48"/>
    <w:rsid w:val="00EC7B5E"/>
    <w:rsid w:val="00ED0C1F"/>
    <w:rsid w:val="00ED0FE1"/>
    <w:rsid w:val="00ED120C"/>
    <w:rsid w:val="00ED166B"/>
    <w:rsid w:val="00ED1D41"/>
    <w:rsid w:val="00ED373C"/>
    <w:rsid w:val="00ED38DA"/>
    <w:rsid w:val="00ED4478"/>
    <w:rsid w:val="00ED694D"/>
    <w:rsid w:val="00ED6B1D"/>
    <w:rsid w:val="00ED7227"/>
    <w:rsid w:val="00ED72C1"/>
    <w:rsid w:val="00ED7AEC"/>
    <w:rsid w:val="00EE03A2"/>
    <w:rsid w:val="00EE0615"/>
    <w:rsid w:val="00EE0780"/>
    <w:rsid w:val="00EE1AC9"/>
    <w:rsid w:val="00EE264D"/>
    <w:rsid w:val="00EE2654"/>
    <w:rsid w:val="00EE2AC7"/>
    <w:rsid w:val="00EE2F83"/>
    <w:rsid w:val="00EE423D"/>
    <w:rsid w:val="00EE4E14"/>
    <w:rsid w:val="00EE6319"/>
    <w:rsid w:val="00EE716C"/>
    <w:rsid w:val="00EE754B"/>
    <w:rsid w:val="00EE7E40"/>
    <w:rsid w:val="00EE7FF9"/>
    <w:rsid w:val="00EF04C7"/>
    <w:rsid w:val="00EF0DCA"/>
    <w:rsid w:val="00EF14BC"/>
    <w:rsid w:val="00EF1FAE"/>
    <w:rsid w:val="00EF337D"/>
    <w:rsid w:val="00EF3ACD"/>
    <w:rsid w:val="00EF3F88"/>
    <w:rsid w:val="00EF41F8"/>
    <w:rsid w:val="00EF648C"/>
    <w:rsid w:val="00F00550"/>
    <w:rsid w:val="00F0215B"/>
    <w:rsid w:val="00F0277B"/>
    <w:rsid w:val="00F02815"/>
    <w:rsid w:val="00F03D1C"/>
    <w:rsid w:val="00F03F86"/>
    <w:rsid w:val="00F04BB9"/>
    <w:rsid w:val="00F0582D"/>
    <w:rsid w:val="00F05E58"/>
    <w:rsid w:val="00F06009"/>
    <w:rsid w:val="00F06FF2"/>
    <w:rsid w:val="00F07193"/>
    <w:rsid w:val="00F07330"/>
    <w:rsid w:val="00F07344"/>
    <w:rsid w:val="00F079EC"/>
    <w:rsid w:val="00F07CE8"/>
    <w:rsid w:val="00F107B1"/>
    <w:rsid w:val="00F11ECE"/>
    <w:rsid w:val="00F12965"/>
    <w:rsid w:val="00F12E59"/>
    <w:rsid w:val="00F13EFB"/>
    <w:rsid w:val="00F149F7"/>
    <w:rsid w:val="00F16566"/>
    <w:rsid w:val="00F172F9"/>
    <w:rsid w:val="00F17731"/>
    <w:rsid w:val="00F17A75"/>
    <w:rsid w:val="00F17E3C"/>
    <w:rsid w:val="00F20607"/>
    <w:rsid w:val="00F208C2"/>
    <w:rsid w:val="00F20B8D"/>
    <w:rsid w:val="00F2118D"/>
    <w:rsid w:val="00F21544"/>
    <w:rsid w:val="00F21C5D"/>
    <w:rsid w:val="00F2282A"/>
    <w:rsid w:val="00F241AE"/>
    <w:rsid w:val="00F25B0F"/>
    <w:rsid w:val="00F25DDF"/>
    <w:rsid w:val="00F26689"/>
    <w:rsid w:val="00F26D4C"/>
    <w:rsid w:val="00F27228"/>
    <w:rsid w:val="00F278B0"/>
    <w:rsid w:val="00F27AA5"/>
    <w:rsid w:val="00F30304"/>
    <w:rsid w:val="00F31106"/>
    <w:rsid w:val="00F31574"/>
    <w:rsid w:val="00F31ADE"/>
    <w:rsid w:val="00F31F4F"/>
    <w:rsid w:val="00F32F4B"/>
    <w:rsid w:val="00F34768"/>
    <w:rsid w:val="00F34A3C"/>
    <w:rsid w:val="00F34D3E"/>
    <w:rsid w:val="00F362EE"/>
    <w:rsid w:val="00F36647"/>
    <w:rsid w:val="00F36C19"/>
    <w:rsid w:val="00F37296"/>
    <w:rsid w:val="00F374CC"/>
    <w:rsid w:val="00F378C0"/>
    <w:rsid w:val="00F4053E"/>
    <w:rsid w:val="00F40562"/>
    <w:rsid w:val="00F40B5D"/>
    <w:rsid w:val="00F40F35"/>
    <w:rsid w:val="00F41562"/>
    <w:rsid w:val="00F415C4"/>
    <w:rsid w:val="00F420CB"/>
    <w:rsid w:val="00F4370B"/>
    <w:rsid w:val="00F454E9"/>
    <w:rsid w:val="00F45788"/>
    <w:rsid w:val="00F45A6F"/>
    <w:rsid w:val="00F45CA4"/>
    <w:rsid w:val="00F466E8"/>
    <w:rsid w:val="00F46BCB"/>
    <w:rsid w:val="00F5013C"/>
    <w:rsid w:val="00F504DC"/>
    <w:rsid w:val="00F50C71"/>
    <w:rsid w:val="00F50C97"/>
    <w:rsid w:val="00F50F67"/>
    <w:rsid w:val="00F50F7F"/>
    <w:rsid w:val="00F522AE"/>
    <w:rsid w:val="00F52740"/>
    <w:rsid w:val="00F53D3E"/>
    <w:rsid w:val="00F541BA"/>
    <w:rsid w:val="00F544DD"/>
    <w:rsid w:val="00F54832"/>
    <w:rsid w:val="00F54C5C"/>
    <w:rsid w:val="00F555E3"/>
    <w:rsid w:val="00F55EB9"/>
    <w:rsid w:val="00F55FDF"/>
    <w:rsid w:val="00F57211"/>
    <w:rsid w:val="00F60FB9"/>
    <w:rsid w:val="00F61699"/>
    <w:rsid w:val="00F61D16"/>
    <w:rsid w:val="00F61FFD"/>
    <w:rsid w:val="00F62906"/>
    <w:rsid w:val="00F62C39"/>
    <w:rsid w:val="00F62E79"/>
    <w:rsid w:val="00F634A7"/>
    <w:rsid w:val="00F635EA"/>
    <w:rsid w:val="00F63900"/>
    <w:rsid w:val="00F647D9"/>
    <w:rsid w:val="00F65C61"/>
    <w:rsid w:val="00F66891"/>
    <w:rsid w:val="00F67353"/>
    <w:rsid w:val="00F674B4"/>
    <w:rsid w:val="00F67BE6"/>
    <w:rsid w:val="00F70737"/>
    <w:rsid w:val="00F70CEB"/>
    <w:rsid w:val="00F70F8C"/>
    <w:rsid w:val="00F71AE4"/>
    <w:rsid w:val="00F722EF"/>
    <w:rsid w:val="00F72675"/>
    <w:rsid w:val="00F7267D"/>
    <w:rsid w:val="00F72EEB"/>
    <w:rsid w:val="00F73A0F"/>
    <w:rsid w:val="00F73C16"/>
    <w:rsid w:val="00F74FB3"/>
    <w:rsid w:val="00F74FC9"/>
    <w:rsid w:val="00F754FD"/>
    <w:rsid w:val="00F755D0"/>
    <w:rsid w:val="00F756EF"/>
    <w:rsid w:val="00F75C29"/>
    <w:rsid w:val="00F75CEE"/>
    <w:rsid w:val="00F77299"/>
    <w:rsid w:val="00F77715"/>
    <w:rsid w:val="00F77AA4"/>
    <w:rsid w:val="00F809A1"/>
    <w:rsid w:val="00F80DA4"/>
    <w:rsid w:val="00F81221"/>
    <w:rsid w:val="00F8162D"/>
    <w:rsid w:val="00F81EA8"/>
    <w:rsid w:val="00F8201A"/>
    <w:rsid w:val="00F82F1D"/>
    <w:rsid w:val="00F83DE4"/>
    <w:rsid w:val="00F83FD2"/>
    <w:rsid w:val="00F8415B"/>
    <w:rsid w:val="00F84802"/>
    <w:rsid w:val="00F867B2"/>
    <w:rsid w:val="00F87324"/>
    <w:rsid w:val="00F87344"/>
    <w:rsid w:val="00F87615"/>
    <w:rsid w:val="00F87FE6"/>
    <w:rsid w:val="00F90038"/>
    <w:rsid w:val="00F903B0"/>
    <w:rsid w:val="00F90E7A"/>
    <w:rsid w:val="00F9106F"/>
    <w:rsid w:val="00F91F24"/>
    <w:rsid w:val="00F922EE"/>
    <w:rsid w:val="00F9236B"/>
    <w:rsid w:val="00F94AC5"/>
    <w:rsid w:val="00F95174"/>
    <w:rsid w:val="00F97823"/>
    <w:rsid w:val="00FA05CE"/>
    <w:rsid w:val="00FA125C"/>
    <w:rsid w:val="00FA1872"/>
    <w:rsid w:val="00FA2989"/>
    <w:rsid w:val="00FA29F2"/>
    <w:rsid w:val="00FA2C10"/>
    <w:rsid w:val="00FA34B8"/>
    <w:rsid w:val="00FA3539"/>
    <w:rsid w:val="00FA3AFA"/>
    <w:rsid w:val="00FA407F"/>
    <w:rsid w:val="00FA432F"/>
    <w:rsid w:val="00FA4BD5"/>
    <w:rsid w:val="00FA5A4E"/>
    <w:rsid w:val="00FA689E"/>
    <w:rsid w:val="00FA7BC1"/>
    <w:rsid w:val="00FA7F25"/>
    <w:rsid w:val="00FB09BB"/>
    <w:rsid w:val="00FB14BD"/>
    <w:rsid w:val="00FB193F"/>
    <w:rsid w:val="00FB2048"/>
    <w:rsid w:val="00FB20A4"/>
    <w:rsid w:val="00FB3624"/>
    <w:rsid w:val="00FB4056"/>
    <w:rsid w:val="00FB44F9"/>
    <w:rsid w:val="00FB46DF"/>
    <w:rsid w:val="00FB471C"/>
    <w:rsid w:val="00FB52F0"/>
    <w:rsid w:val="00FB5663"/>
    <w:rsid w:val="00FB5B60"/>
    <w:rsid w:val="00FB5FA9"/>
    <w:rsid w:val="00FB6080"/>
    <w:rsid w:val="00FB60FA"/>
    <w:rsid w:val="00FB683B"/>
    <w:rsid w:val="00FB6D6F"/>
    <w:rsid w:val="00FB79F9"/>
    <w:rsid w:val="00FB7EAF"/>
    <w:rsid w:val="00FC0780"/>
    <w:rsid w:val="00FC1770"/>
    <w:rsid w:val="00FC1BEF"/>
    <w:rsid w:val="00FC225D"/>
    <w:rsid w:val="00FC2C74"/>
    <w:rsid w:val="00FC33DE"/>
    <w:rsid w:val="00FC3B0E"/>
    <w:rsid w:val="00FC41FA"/>
    <w:rsid w:val="00FC4AD9"/>
    <w:rsid w:val="00FC4FE8"/>
    <w:rsid w:val="00FC5A5D"/>
    <w:rsid w:val="00FC6C0B"/>
    <w:rsid w:val="00FC770B"/>
    <w:rsid w:val="00FC7BE8"/>
    <w:rsid w:val="00FD0521"/>
    <w:rsid w:val="00FD0ACD"/>
    <w:rsid w:val="00FD172F"/>
    <w:rsid w:val="00FD38BE"/>
    <w:rsid w:val="00FD46C7"/>
    <w:rsid w:val="00FD4EE3"/>
    <w:rsid w:val="00FD4F1D"/>
    <w:rsid w:val="00FD659B"/>
    <w:rsid w:val="00FD66E0"/>
    <w:rsid w:val="00FD7E6B"/>
    <w:rsid w:val="00FD7FE1"/>
    <w:rsid w:val="00FE09AD"/>
    <w:rsid w:val="00FE1419"/>
    <w:rsid w:val="00FE1A73"/>
    <w:rsid w:val="00FE1C6D"/>
    <w:rsid w:val="00FE1F56"/>
    <w:rsid w:val="00FE2210"/>
    <w:rsid w:val="00FE348B"/>
    <w:rsid w:val="00FE484A"/>
    <w:rsid w:val="00FE5560"/>
    <w:rsid w:val="00FE5987"/>
    <w:rsid w:val="00FE63CD"/>
    <w:rsid w:val="00FE68FF"/>
    <w:rsid w:val="00FE6C9B"/>
    <w:rsid w:val="00FE768D"/>
    <w:rsid w:val="00FE7CC2"/>
    <w:rsid w:val="00FE7D05"/>
    <w:rsid w:val="00FF0B0E"/>
    <w:rsid w:val="00FF1611"/>
    <w:rsid w:val="00FF1690"/>
    <w:rsid w:val="00FF2869"/>
    <w:rsid w:val="00FF2C7B"/>
    <w:rsid w:val="00FF3ED3"/>
    <w:rsid w:val="00FF429B"/>
    <w:rsid w:val="00FF4991"/>
    <w:rsid w:val="00FF4E3A"/>
    <w:rsid w:val="00FF53EB"/>
    <w:rsid w:val="00FF54B5"/>
    <w:rsid w:val="00FF5A1F"/>
    <w:rsid w:val="00FF7938"/>
    <w:rsid w:val="01022C19"/>
    <w:rsid w:val="01180AFD"/>
    <w:rsid w:val="01206A1C"/>
    <w:rsid w:val="013A4168"/>
    <w:rsid w:val="0141245C"/>
    <w:rsid w:val="01464A94"/>
    <w:rsid w:val="014A66FF"/>
    <w:rsid w:val="015F38E8"/>
    <w:rsid w:val="016F43BB"/>
    <w:rsid w:val="01787946"/>
    <w:rsid w:val="017D286F"/>
    <w:rsid w:val="017D31AE"/>
    <w:rsid w:val="01887498"/>
    <w:rsid w:val="018E3107"/>
    <w:rsid w:val="01B1590A"/>
    <w:rsid w:val="01B3017B"/>
    <w:rsid w:val="01BA20F3"/>
    <w:rsid w:val="01C901A1"/>
    <w:rsid w:val="01CE31FC"/>
    <w:rsid w:val="01E74ACC"/>
    <w:rsid w:val="01F10744"/>
    <w:rsid w:val="01FF53D3"/>
    <w:rsid w:val="020457E4"/>
    <w:rsid w:val="022278B2"/>
    <w:rsid w:val="022C48CF"/>
    <w:rsid w:val="0231577B"/>
    <w:rsid w:val="024E0BB2"/>
    <w:rsid w:val="025657AD"/>
    <w:rsid w:val="025B6071"/>
    <w:rsid w:val="02600DCB"/>
    <w:rsid w:val="02641C78"/>
    <w:rsid w:val="026D5649"/>
    <w:rsid w:val="02793C75"/>
    <w:rsid w:val="02B42D86"/>
    <w:rsid w:val="02BB0406"/>
    <w:rsid w:val="02CD148B"/>
    <w:rsid w:val="02CF2ED4"/>
    <w:rsid w:val="02F0175E"/>
    <w:rsid w:val="02FD34A4"/>
    <w:rsid w:val="03134CBE"/>
    <w:rsid w:val="03351867"/>
    <w:rsid w:val="0342583E"/>
    <w:rsid w:val="03435D32"/>
    <w:rsid w:val="036B5643"/>
    <w:rsid w:val="0374238F"/>
    <w:rsid w:val="0389171A"/>
    <w:rsid w:val="03F263E7"/>
    <w:rsid w:val="03F45C08"/>
    <w:rsid w:val="03FC7C18"/>
    <w:rsid w:val="03FE0FDA"/>
    <w:rsid w:val="04260E2B"/>
    <w:rsid w:val="04280C57"/>
    <w:rsid w:val="04444720"/>
    <w:rsid w:val="045264A9"/>
    <w:rsid w:val="045B52FD"/>
    <w:rsid w:val="047D48B1"/>
    <w:rsid w:val="048A0066"/>
    <w:rsid w:val="04910DFD"/>
    <w:rsid w:val="049379E3"/>
    <w:rsid w:val="04B8735B"/>
    <w:rsid w:val="04E07C49"/>
    <w:rsid w:val="04FB12BF"/>
    <w:rsid w:val="05041CFB"/>
    <w:rsid w:val="05067FBF"/>
    <w:rsid w:val="050E411D"/>
    <w:rsid w:val="051C4A8C"/>
    <w:rsid w:val="05332E42"/>
    <w:rsid w:val="054E2069"/>
    <w:rsid w:val="055406CA"/>
    <w:rsid w:val="055A6A50"/>
    <w:rsid w:val="055F4548"/>
    <w:rsid w:val="055F6850"/>
    <w:rsid w:val="058770A7"/>
    <w:rsid w:val="058A5E9A"/>
    <w:rsid w:val="05925B0F"/>
    <w:rsid w:val="05946D18"/>
    <w:rsid w:val="05B272AB"/>
    <w:rsid w:val="05BE5746"/>
    <w:rsid w:val="05BF7FA8"/>
    <w:rsid w:val="05F567FE"/>
    <w:rsid w:val="05F87E0A"/>
    <w:rsid w:val="05FA4F12"/>
    <w:rsid w:val="06203819"/>
    <w:rsid w:val="063522A9"/>
    <w:rsid w:val="063A78C0"/>
    <w:rsid w:val="068F7C59"/>
    <w:rsid w:val="0694457B"/>
    <w:rsid w:val="0695381E"/>
    <w:rsid w:val="06A73742"/>
    <w:rsid w:val="06B30152"/>
    <w:rsid w:val="06B60FFE"/>
    <w:rsid w:val="06BA27AF"/>
    <w:rsid w:val="06BC02D5"/>
    <w:rsid w:val="06C44F10"/>
    <w:rsid w:val="06CB0518"/>
    <w:rsid w:val="06D40FD9"/>
    <w:rsid w:val="06D53145"/>
    <w:rsid w:val="06D66EBD"/>
    <w:rsid w:val="06E67460"/>
    <w:rsid w:val="06E97058"/>
    <w:rsid w:val="07225256"/>
    <w:rsid w:val="072A5552"/>
    <w:rsid w:val="072C1530"/>
    <w:rsid w:val="073C38DB"/>
    <w:rsid w:val="073F5E71"/>
    <w:rsid w:val="074537CF"/>
    <w:rsid w:val="0765191C"/>
    <w:rsid w:val="07815DEE"/>
    <w:rsid w:val="078678A3"/>
    <w:rsid w:val="079052BE"/>
    <w:rsid w:val="079254DA"/>
    <w:rsid w:val="07CC0E71"/>
    <w:rsid w:val="07CF22F6"/>
    <w:rsid w:val="07DC7346"/>
    <w:rsid w:val="07E22265"/>
    <w:rsid w:val="07E51AAD"/>
    <w:rsid w:val="080D4830"/>
    <w:rsid w:val="081D2FF5"/>
    <w:rsid w:val="08206FD4"/>
    <w:rsid w:val="082F3A89"/>
    <w:rsid w:val="08397703"/>
    <w:rsid w:val="08613DB7"/>
    <w:rsid w:val="08934B17"/>
    <w:rsid w:val="08AA723A"/>
    <w:rsid w:val="08AE3A03"/>
    <w:rsid w:val="08D062B9"/>
    <w:rsid w:val="08DC023A"/>
    <w:rsid w:val="08E636EB"/>
    <w:rsid w:val="08E72C18"/>
    <w:rsid w:val="08EC07E0"/>
    <w:rsid w:val="08F57183"/>
    <w:rsid w:val="090C3E93"/>
    <w:rsid w:val="09120680"/>
    <w:rsid w:val="091F4B4B"/>
    <w:rsid w:val="092403B3"/>
    <w:rsid w:val="092E4D8E"/>
    <w:rsid w:val="09493D9E"/>
    <w:rsid w:val="095803C2"/>
    <w:rsid w:val="096B7D90"/>
    <w:rsid w:val="097E5C4C"/>
    <w:rsid w:val="09866978"/>
    <w:rsid w:val="09A87468"/>
    <w:rsid w:val="09AD2157"/>
    <w:rsid w:val="09BA06BE"/>
    <w:rsid w:val="09D01A1F"/>
    <w:rsid w:val="09DC6251"/>
    <w:rsid w:val="09E13C08"/>
    <w:rsid w:val="0A0A75A9"/>
    <w:rsid w:val="0A0D7099"/>
    <w:rsid w:val="0A2770E1"/>
    <w:rsid w:val="0A5361B5"/>
    <w:rsid w:val="0A622F41"/>
    <w:rsid w:val="0A6441DB"/>
    <w:rsid w:val="0A6E5D8A"/>
    <w:rsid w:val="0A9450C5"/>
    <w:rsid w:val="0AB0339A"/>
    <w:rsid w:val="0ACF67AE"/>
    <w:rsid w:val="0AD228B8"/>
    <w:rsid w:val="0AD851DC"/>
    <w:rsid w:val="0ADD4A50"/>
    <w:rsid w:val="0AE662D2"/>
    <w:rsid w:val="0B3A2A43"/>
    <w:rsid w:val="0B4104C1"/>
    <w:rsid w:val="0B492594"/>
    <w:rsid w:val="0B53227B"/>
    <w:rsid w:val="0B761597"/>
    <w:rsid w:val="0B8769D7"/>
    <w:rsid w:val="0B887DDE"/>
    <w:rsid w:val="0BDE751C"/>
    <w:rsid w:val="0BEB51B8"/>
    <w:rsid w:val="0BF5268F"/>
    <w:rsid w:val="0BF906BC"/>
    <w:rsid w:val="0C140ABA"/>
    <w:rsid w:val="0C2B1A59"/>
    <w:rsid w:val="0C34090D"/>
    <w:rsid w:val="0C3516A0"/>
    <w:rsid w:val="0C396A8A"/>
    <w:rsid w:val="0C3A4C9D"/>
    <w:rsid w:val="0C423C33"/>
    <w:rsid w:val="0C571C78"/>
    <w:rsid w:val="0C62191E"/>
    <w:rsid w:val="0C6F243B"/>
    <w:rsid w:val="0C7F37E3"/>
    <w:rsid w:val="0C961F85"/>
    <w:rsid w:val="0C976E65"/>
    <w:rsid w:val="0CC71781"/>
    <w:rsid w:val="0CCF4ADA"/>
    <w:rsid w:val="0CD30126"/>
    <w:rsid w:val="0CE91C36"/>
    <w:rsid w:val="0CED3A0F"/>
    <w:rsid w:val="0CEE4F60"/>
    <w:rsid w:val="0D261999"/>
    <w:rsid w:val="0D4F11D3"/>
    <w:rsid w:val="0D696CDD"/>
    <w:rsid w:val="0D7265E9"/>
    <w:rsid w:val="0D7874BE"/>
    <w:rsid w:val="0D813C2B"/>
    <w:rsid w:val="0D8634F1"/>
    <w:rsid w:val="0D925592"/>
    <w:rsid w:val="0D934F3D"/>
    <w:rsid w:val="0DA87441"/>
    <w:rsid w:val="0DAC449D"/>
    <w:rsid w:val="0DB52116"/>
    <w:rsid w:val="0DB717D0"/>
    <w:rsid w:val="0DCE03F2"/>
    <w:rsid w:val="0DD52747"/>
    <w:rsid w:val="0DD5381B"/>
    <w:rsid w:val="0E107158"/>
    <w:rsid w:val="0E156536"/>
    <w:rsid w:val="0E1C3D4F"/>
    <w:rsid w:val="0E2A49D7"/>
    <w:rsid w:val="0E372937"/>
    <w:rsid w:val="0E384AAD"/>
    <w:rsid w:val="0E3C1DD5"/>
    <w:rsid w:val="0E3C55D3"/>
    <w:rsid w:val="0E3F187A"/>
    <w:rsid w:val="0E405D7D"/>
    <w:rsid w:val="0E692C39"/>
    <w:rsid w:val="0E796AAB"/>
    <w:rsid w:val="0E7F325E"/>
    <w:rsid w:val="0E8F4521"/>
    <w:rsid w:val="0E927B6D"/>
    <w:rsid w:val="0EA7486B"/>
    <w:rsid w:val="0EA94074"/>
    <w:rsid w:val="0EBA23C6"/>
    <w:rsid w:val="0EDA1F57"/>
    <w:rsid w:val="0EF620C5"/>
    <w:rsid w:val="0F0A60D9"/>
    <w:rsid w:val="0F113188"/>
    <w:rsid w:val="0F2261A8"/>
    <w:rsid w:val="0F2E6815"/>
    <w:rsid w:val="0F312776"/>
    <w:rsid w:val="0F5C67CB"/>
    <w:rsid w:val="0F606A5A"/>
    <w:rsid w:val="0F703E2A"/>
    <w:rsid w:val="0F711E78"/>
    <w:rsid w:val="0F9E2F20"/>
    <w:rsid w:val="0FA13193"/>
    <w:rsid w:val="0FC0211C"/>
    <w:rsid w:val="0FE173D0"/>
    <w:rsid w:val="0FE61696"/>
    <w:rsid w:val="0FFF6079"/>
    <w:rsid w:val="10186CD3"/>
    <w:rsid w:val="10207B26"/>
    <w:rsid w:val="10240C99"/>
    <w:rsid w:val="102827BB"/>
    <w:rsid w:val="105301D7"/>
    <w:rsid w:val="10577429"/>
    <w:rsid w:val="106A6FF4"/>
    <w:rsid w:val="106B68C8"/>
    <w:rsid w:val="106E57BB"/>
    <w:rsid w:val="10715386"/>
    <w:rsid w:val="107A5BE8"/>
    <w:rsid w:val="108C6184"/>
    <w:rsid w:val="10A32505"/>
    <w:rsid w:val="10A546BD"/>
    <w:rsid w:val="10BA45DE"/>
    <w:rsid w:val="10C75EEF"/>
    <w:rsid w:val="10C92AA1"/>
    <w:rsid w:val="10F4280C"/>
    <w:rsid w:val="10F53DA7"/>
    <w:rsid w:val="11001040"/>
    <w:rsid w:val="11052878"/>
    <w:rsid w:val="11103179"/>
    <w:rsid w:val="11360C84"/>
    <w:rsid w:val="11380EA0"/>
    <w:rsid w:val="11387860"/>
    <w:rsid w:val="114602C5"/>
    <w:rsid w:val="116347B4"/>
    <w:rsid w:val="11810BD7"/>
    <w:rsid w:val="1194410A"/>
    <w:rsid w:val="11B9410E"/>
    <w:rsid w:val="11BC4852"/>
    <w:rsid w:val="11C030C9"/>
    <w:rsid w:val="11C35F0C"/>
    <w:rsid w:val="11C616B5"/>
    <w:rsid w:val="11C76588"/>
    <w:rsid w:val="11DA0417"/>
    <w:rsid w:val="11DA46E9"/>
    <w:rsid w:val="11DD6B92"/>
    <w:rsid w:val="11F35A50"/>
    <w:rsid w:val="120B4351"/>
    <w:rsid w:val="12274A70"/>
    <w:rsid w:val="124D7FFE"/>
    <w:rsid w:val="124E4DA1"/>
    <w:rsid w:val="12505336"/>
    <w:rsid w:val="12522D6E"/>
    <w:rsid w:val="12552659"/>
    <w:rsid w:val="125E0077"/>
    <w:rsid w:val="126D2DCB"/>
    <w:rsid w:val="127D7762"/>
    <w:rsid w:val="127F6AF4"/>
    <w:rsid w:val="12833940"/>
    <w:rsid w:val="128B1D7F"/>
    <w:rsid w:val="128E48CD"/>
    <w:rsid w:val="129369E4"/>
    <w:rsid w:val="12A165D1"/>
    <w:rsid w:val="12A8795F"/>
    <w:rsid w:val="12CC4F0E"/>
    <w:rsid w:val="12E56E05"/>
    <w:rsid w:val="12EA24E7"/>
    <w:rsid w:val="12FB1C8A"/>
    <w:rsid w:val="12FF5F68"/>
    <w:rsid w:val="1323348A"/>
    <w:rsid w:val="132C70AC"/>
    <w:rsid w:val="133E02C4"/>
    <w:rsid w:val="134753CA"/>
    <w:rsid w:val="13716683"/>
    <w:rsid w:val="13781CCD"/>
    <w:rsid w:val="137C122A"/>
    <w:rsid w:val="137F004C"/>
    <w:rsid w:val="13813515"/>
    <w:rsid w:val="138B7C90"/>
    <w:rsid w:val="138E0DFB"/>
    <w:rsid w:val="13B9335E"/>
    <w:rsid w:val="13DE6C67"/>
    <w:rsid w:val="13E41975"/>
    <w:rsid w:val="13FD2FC8"/>
    <w:rsid w:val="141259D8"/>
    <w:rsid w:val="142A0DE6"/>
    <w:rsid w:val="14306C76"/>
    <w:rsid w:val="14681491"/>
    <w:rsid w:val="147017D1"/>
    <w:rsid w:val="14817476"/>
    <w:rsid w:val="148E5037"/>
    <w:rsid w:val="14991C55"/>
    <w:rsid w:val="149C1746"/>
    <w:rsid w:val="14A224E2"/>
    <w:rsid w:val="14A8633C"/>
    <w:rsid w:val="14B54CC2"/>
    <w:rsid w:val="14E661D8"/>
    <w:rsid w:val="14F61C0B"/>
    <w:rsid w:val="14F819A0"/>
    <w:rsid w:val="15046468"/>
    <w:rsid w:val="15123419"/>
    <w:rsid w:val="151632A6"/>
    <w:rsid w:val="151C4634"/>
    <w:rsid w:val="1533014C"/>
    <w:rsid w:val="15377095"/>
    <w:rsid w:val="15400323"/>
    <w:rsid w:val="15506835"/>
    <w:rsid w:val="15522158"/>
    <w:rsid w:val="156322B2"/>
    <w:rsid w:val="15881A73"/>
    <w:rsid w:val="15A27725"/>
    <w:rsid w:val="15A60698"/>
    <w:rsid w:val="15A9236C"/>
    <w:rsid w:val="15BE5902"/>
    <w:rsid w:val="15D01057"/>
    <w:rsid w:val="15D469C1"/>
    <w:rsid w:val="15D54B4C"/>
    <w:rsid w:val="15D75D08"/>
    <w:rsid w:val="15DB3241"/>
    <w:rsid w:val="15FD4466"/>
    <w:rsid w:val="16066795"/>
    <w:rsid w:val="161D68B6"/>
    <w:rsid w:val="162940C8"/>
    <w:rsid w:val="163B669D"/>
    <w:rsid w:val="163D4862"/>
    <w:rsid w:val="164728A1"/>
    <w:rsid w:val="164D62AF"/>
    <w:rsid w:val="165026D7"/>
    <w:rsid w:val="16516629"/>
    <w:rsid w:val="1652311B"/>
    <w:rsid w:val="165B0765"/>
    <w:rsid w:val="166561F5"/>
    <w:rsid w:val="16756661"/>
    <w:rsid w:val="16777D74"/>
    <w:rsid w:val="16793C89"/>
    <w:rsid w:val="16816987"/>
    <w:rsid w:val="169052DA"/>
    <w:rsid w:val="169A648C"/>
    <w:rsid w:val="169D1CD1"/>
    <w:rsid w:val="16A379C5"/>
    <w:rsid w:val="16B0437E"/>
    <w:rsid w:val="16B71B14"/>
    <w:rsid w:val="16BC4771"/>
    <w:rsid w:val="16DC45D9"/>
    <w:rsid w:val="16E22CF2"/>
    <w:rsid w:val="16F17126"/>
    <w:rsid w:val="16F83CFA"/>
    <w:rsid w:val="16FC152E"/>
    <w:rsid w:val="16FF0E6E"/>
    <w:rsid w:val="17012CAE"/>
    <w:rsid w:val="170A6404"/>
    <w:rsid w:val="17397720"/>
    <w:rsid w:val="174560C4"/>
    <w:rsid w:val="175D7A45"/>
    <w:rsid w:val="17616B7E"/>
    <w:rsid w:val="176530AF"/>
    <w:rsid w:val="17AC1CA0"/>
    <w:rsid w:val="17B017EC"/>
    <w:rsid w:val="17B45DCE"/>
    <w:rsid w:val="17BD31A6"/>
    <w:rsid w:val="17C4348D"/>
    <w:rsid w:val="17C90AA4"/>
    <w:rsid w:val="17CE6DD4"/>
    <w:rsid w:val="17E7776F"/>
    <w:rsid w:val="17F028A6"/>
    <w:rsid w:val="17F31D53"/>
    <w:rsid w:val="18153373"/>
    <w:rsid w:val="183F2B14"/>
    <w:rsid w:val="186B3909"/>
    <w:rsid w:val="186F400F"/>
    <w:rsid w:val="1870214D"/>
    <w:rsid w:val="187A6623"/>
    <w:rsid w:val="18826EA4"/>
    <w:rsid w:val="1887096D"/>
    <w:rsid w:val="189A2432"/>
    <w:rsid w:val="189C1593"/>
    <w:rsid w:val="18B43502"/>
    <w:rsid w:val="18C00A60"/>
    <w:rsid w:val="18C5538E"/>
    <w:rsid w:val="18D74E64"/>
    <w:rsid w:val="18F40139"/>
    <w:rsid w:val="1913123F"/>
    <w:rsid w:val="192D1ED6"/>
    <w:rsid w:val="1948749B"/>
    <w:rsid w:val="1957221D"/>
    <w:rsid w:val="195A6500"/>
    <w:rsid w:val="19904411"/>
    <w:rsid w:val="1991102A"/>
    <w:rsid w:val="19A3434D"/>
    <w:rsid w:val="19AB7143"/>
    <w:rsid w:val="19AC7DD1"/>
    <w:rsid w:val="19B216E0"/>
    <w:rsid w:val="19C112CA"/>
    <w:rsid w:val="19C21C4E"/>
    <w:rsid w:val="19D25F23"/>
    <w:rsid w:val="19D26C6D"/>
    <w:rsid w:val="19DA7BA8"/>
    <w:rsid w:val="1A240213"/>
    <w:rsid w:val="1A534654"/>
    <w:rsid w:val="1A691BD3"/>
    <w:rsid w:val="1AA426DC"/>
    <w:rsid w:val="1AA50C28"/>
    <w:rsid w:val="1AAD645B"/>
    <w:rsid w:val="1AB1576F"/>
    <w:rsid w:val="1ABA2799"/>
    <w:rsid w:val="1AD734D7"/>
    <w:rsid w:val="1AE654C9"/>
    <w:rsid w:val="1AE9320B"/>
    <w:rsid w:val="1B25364A"/>
    <w:rsid w:val="1B2557ED"/>
    <w:rsid w:val="1B2F266A"/>
    <w:rsid w:val="1B400DE0"/>
    <w:rsid w:val="1B7B0307"/>
    <w:rsid w:val="1BC17F90"/>
    <w:rsid w:val="1BC83FED"/>
    <w:rsid w:val="1BC8798D"/>
    <w:rsid w:val="1BCD14CD"/>
    <w:rsid w:val="1BDC7797"/>
    <w:rsid w:val="1BDF74FC"/>
    <w:rsid w:val="1BEA143E"/>
    <w:rsid w:val="1BEE7D5A"/>
    <w:rsid w:val="1BF579E3"/>
    <w:rsid w:val="1C10748A"/>
    <w:rsid w:val="1C180404"/>
    <w:rsid w:val="1C1D78C1"/>
    <w:rsid w:val="1C220EE5"/>
    <w:rsid w:val="1C335A11"/>
    <w:rsid w:val="1C3A6418"/>
    <w:rsid w:val="1C3C1B07"/>
    <w:rsid w:val="1C5F53D8"/>
    <w:rsid w:val="1CA078F9"/>
    <w:rsid w:val="1CBD66FD"/>
    <w:rsid w:val="1CC8656F"/>
    <w:rsid w:val="1CD423D9"/>
    <w:rsid w:val="1CDB7A52"/>
    <w:rsid w:val="1D0D38B9"/>
    <w:rsid w:val="1D211E2D"/>
    <w:rsid w:val="1D3471D5"/>
    <w:rsid w:val="1D374BD9"/>
    <w:rsid w:val="1D446095"/>
    <w:rsid w:val="1D503CF1"/>
    <w:rsid w:val="1D5E1C8E"/>
    <w:rsid w:val="1D663D3F"/>
    <w:rsid w:val="1D777D57"/>
    <w:rsid w:val="1D7C57B5"/>
    <w:rsid w:val="1D840101"/>
    <w:rsid w:val="1D845058"/>
    <w:rsid w:val="1D8E3BF5"/>
    <w:rsid w:val="1D974C38"/>
    <w:rsid w:val="1DB01D4A"/>
    <w:rsid w:val="1DB4045D"/>
    <w:rsid w:val="1DBB5310"/>
    <w:rsid w:val="1DD61CA0"/>
    <w:rsid w:val="1DE10DED"/>
    <w:rsid w:val="1DED5A62"/>
    <w:rsid w:val="1DFE4E62"/>
    <w:rsid w:val="1E043C37"/>
    <w:rsid w:val="1E0631F7"/>
    <w:rsid w:val="1E14059F"/>
    <w:rsid w:val="1E312196"/>
    <w:rsid w:val="1E3C7CC8"/>
    <w:rsid w:val="1E5D2655"/>
    <w:rsid w:val="1E66203E"/>
    <w:rsid w:val="1E6E6FB9"/>
    <w:rsid w:val="1E8B04C1"/>
    <w:rsid w:val="1EB402CD"/>
    <w:rsid w:val="1EB74C7A"/>
    <w:rsid w:val="1EBA5AAC"/>
    <w:rsid w:val="1ED3453A"/>
    <w:rsid w:val="1ED8781E"/>
    <w:rsid w:val="1EEA3073"/>
    <w:rsid w:val="1EF74148"/>
    <w:rsid w:val="1F1801C3"/>
    <w:rsid w:val="1F284DB5"/>
    <w:rsid w:val="1F372797"/>
    <w:rsid w:val="1F3A54E2"/>
    <w:rsid w:val="1F3E1D77"/>
    <w:rsid w:val="1F437CC6"/>
    <w:rsid w:val="1F4E6BA3"/>
    <w:rsid w:val="1F583ED7"/>
    <w:rsid w:val="1F612DBB"/>
    <w:rsid w:val="1F9704D5"/>
    <w:rsid w:val="1F9736CC"/>
    <w:rsid w:val="1F9F754A"/>
    <w:rsid w:val="1FA45952"/>
    <w:rsid w:val="1FA85491"/>
    <w:rsid w:val="1FC14756"/>
    <w:rsid w:val="1FC7440E"/>
    <w:rsid w:val="1FCF1364"/>
    <w:rsid w:val="1FE44638"/>
    <w:rsid w:val="1FEE28BA"/>
    <w:rsid w:val="1FF32470"/>
    <w:rsid w:val="1FF42436"/>
    <w:rsid w:val="1FFD2069"/>
    <w:rsid w:val="201C2B7B"/>
    <w:rsid w:val="20280331"/>
    <w:rsid w:val="20362C85"/>
    <w:rsid w:val="203979B6"/>
    <w:rsid w:val="20444AE0"/>
    <w:rsid w:val="2051396E"/>
    <w:rsid w:val="20566A36"/>
    <w:rsid w:val="205937F1"/>
    <w:rsid w:val="205A44AB"/>
    <w:rsid w:val="206B519C"/>
    <w:rsid w:val="207A53B4"/>
    <w:rsid w:val="2099095F"/>
    <w:rsid w:val="20A426DB"/>
    <w:rsid w:val="20AD7632"/>
    <w:rsid w:val="20BC0277"/>
    <w:rsid w:val="20C41BEC"/>
    <w:rsid w:val="20CA763A"/>
    <w:rsid w:val="20D802B3"/>
    <w:rsid w:val="20DC288D"/>
    <w:rsid w:val="20F9029D"/>
    <w:rsid w:val="213114B9"/>
    <w:rsid w:val="21446707"/>
    <w:rsid w:val="215608BA"/>
    <w:rsid w:val="215B52C8"/>
    <w:rsid w:val="215E6D37"/>
    <w:rsid w:val="21615E06"/>
    <w:rsid w:val="217A2E0F"/>
    <w:rsid w:val="21807387"/>
    <w:rsid w:val="219A700D"/>
    <w:rsid w:val="21A80589"/>
    <w:rsid w:val="21B1432B"/>
    <w:rsid w:val="21CB3F90"/>
    <w:rsid w:val="21DE15EF"/>
    <w:rsid w:val="21F257A8"/>
    <w:rsid w:val="221957BB"/>
    <w:rsid w:val="221A6761"/>
    <w:rsid w:val="222727CC"/>
    <w:rsid w:val="22584D88"/>
    <w:rsid w:val="225F1F9F"/>
    <w:rsid w:val="226715E5"/>
    <w:rsid w:val="226B559C"/>
    <w:rsid w:val="22A75BCC"/>
    <w:rsid w:val="22BE3FAD"/>
    <w:rsid w:val="22C46670"/>
    <w:rsid w:val="22F211D0"/>
    <w:rsid w:val="22F8223D"/>
    <w:rsid w:val="23143076"/>
    <w:rsid w:val="231D6147"/>
    <w:rsid w:val="237711A9"/>
    <w:rsid w:val="23800662"/>
    <w:rsid w:val="238C7205"/>
    <w:rsid w:val="23B05AFD"/>
    <w:rsid w:val="23BC295B"/>
    <w:rsid w:val="23CF38C7"/>
    <w:rsid w:val="23D8099E"/>
    <w:rsid w:val="23E138B2"/>
    <w:rsid w:val="23E32BF8"/>
    <w:rsid w:val="23E43DBA"/>
    <w:rsid w:val="23E80503"/>
    <w:rsid w:val="24037CDE"/>
    <w:rsid w:val="240F55FC"/>
    <w:rsid w:val="241302CD"/>
    <w:rsid w:val="24262DDA"/>
    <w:rsid w:val="242654AA"/>
    <w:rsid w:val="244E2558"/>
    <w:rsid w:val="244F2115"/>
    <w:rsid w:val="24537C4E"/>
    <w:rsid w:val="24556504"/>
    <w:rsid w:val="245B2D0D"/>
    <w:rsid w:val="245F05DD"/>
    <w:rsid w:val="24612064"/>
    <w:rsid w:val="246E66D5"/>
    <w:rsid w:val="249661B1"/>
    <w:rsid w:val="24A46FFC"/>
    <w:rsid w:val="24A563F4"/>
    <w:rsid w:val="24BE1392"/>
    <w:rsid w:val="24C67032"/>
    <w:rsid w:val="24CE11BA"/>
    <w:rsid w:val="24D6506B"/>
    <w:rsid w:val="24E156D6"/>
    <w:rsid w:val="25047597"/>
    <w:rsid w:val="250626FC"/>
    <w:rsid w:val="25076767"/>
    <w:rsid w:val="251511DF"/>
    <w:rsid w:val="25203CCD"/>
    <w:rsid w:val="25382DC5"/>
    <w:rsid w:val="254D1208"/>
    <w:rsid w:val="255D0A7D"/>
    <w:rsid w:val="258E0C37"/>
    <w:rsid w:val="259A7F19"/>
    <w:rsid w:val="25AB02BE"/>
    <w:rsid w:val="25AB7A3A"/>
    <w:rsid w:val="25BB0A6F"/>
    <w:rsid w:val="25C406D4"/>
    <w:rsid w:val="25CB3C39"/>
    <w:rsid w:val="25CD7D24"/>
    <w:rsid w:val="25DB41FB"/>
    <w:rsid w:val="25F97178"/>
    <w:rsid w:val="262B4F92"/>
    <w:rsid w:val="262E502C"/>
    <w:rsid w:val="26621A58"/>
    <w:rsid w:val="266E4FA7"/>
    <w:rsid w:val="267C6B98"/>
    <w:rsid w:val="26833736"/>
    <w:rsid w:val="269D37EC"/>
    <w:rsid w:val="26A5730D"/>
    <w:rsid w:val="26B62640"/>
    <w:rsid w:val="26C847D3"/>
    <w:rsid w:val="26D1237F"/>
    <w:rsid w:val="26E03714"/>
    <w:rsid w:val="26E16459"/>
    <w:rsid w:val="26EE697E"/>
    <w:rsid w:val="26F24D2F"/>
    <w:rsid w:val="26F47310"/>
    <w:rsid w:val="26FA5A1F"/>
    <w:rsid w:val="270A67E2"/>
    <w:rsid w:val="270E44F9"/>
    <w:rsid w:val="27491F39"/>
    <w:rsid w:val="275A34C6"/>
    <w:rsid w:val="276A122F"/>
    <w:rsid w:val="27790AAF"/>
    <w:rsid w:val="277F21E8"/>
    <w:rsid w:val="278968B0"/>
    <w:rsid w:val="278D5932"/>
    <w:rsid w:val="278F3C4B"/>
    <w:rsid w:val="27AC25F8"/>
    <w:rsid w:val="27AE5202"/>
    <w:rsid w:val="27B303DD"/>
    <w:rsid w:val="27CC3BC0"/>
    <w:rsid w:val="27CD6E39"/>
    <w:rsid w:val="27D71EEB"/>
    <w:rsid w:val="27DE6524"/>
    <w:rsid w:val="28145AFD"/>
    <w:rsid w:val="28173165"/>
    <w:rsid w:val="281973E7"/>
    <w:rsid w:val="2867425B"/>
    <w:rsid w:val="28987FE8"/>
    <w:rsid w:val="289A78F2"/>
    <w:rsid w:val="28A018D5"/>
    <w:rsid w:val="28C10A26"/>
    <w:rsid w:val="28C4167D"/>
    <w:rsid w:val="28CB3F50"/>
    <w:rsid w:val="28D15A0A"/>
    <w:rsid w:val="28DC43AF"/>
    <w:rsid w:val="28E80C8C"/>
    <w:rsid w:val="28F64E03"/>
    <w:rsid w:val="291C2745"/>
    <w:rsid w:val="291F7562"/>
    <w:rsid w:val="29653370"/>
    <w:rsid w:val="296F6263"/>
    <w:rsid w:val="297245E1"/>
    <w:rsid w:val="297840D8"/>
    <w:rsid w:val="297C5B77"/>
    <w:rsid w:val="299D60B9"/>
    <w:rsid w:val="29A0362E"/>
    <w:rsid w:val="29AE3017"/>
    <w:rsid w:val="29AF1D4C"/>
    <w:rsid w:val="29C13BDE"/>
    <w:rsid w:val="29E51041"/>
    <w:rsid w:val="29FA47B7"/>
    <w:rsid w:val="29FD5344"/>
    <w:rsid w:val="2A1F27A5"/>
    <w:rsid w:val="2A255E5E"/>
    <w:rsid w:val="2A357B28"/>
    <w:rsid w:val="2A467D32"/>
    <w:rsid w:val="2A4E5CED"/>
    <w:rsid w:val="2A5266D7"/>
    <w:rsid w:val="2A6672CC"/>
    <w:rsid w:val="2A7506E8"/>
    <w:rsid w:val="2A7D3827"/>
    <w:rsid w:val="2A84085A"/>
    <w:rsid w:val="2A9B4F10"/>
    <w:rsid w:val="2AB724A2"/>
    <w:rsid w:val="2ABA0AA5"/>
    <w:rsid w:val="2AD71E4C"/>
    <w:rsid w:val="2AD94ACA"/>
    <w:rsid w:val="2B2D4A4E"/>
    <w:rsid w:val="2B3E2193"/>
    <w:rsid w:val="2B3F7D0C"/>
    <w:rsid w:val="2B4A6CBA"/>
    <w:rsid w:val="2B527B71"/>
    <w:rsid w:val="2B6F5066"/>
    <w:rsid w:val="2B762F48"/>
    <w:rsid w:val="2B790267"/>
    <w:rsid w:val="2B7E6E0B"/>
    <w:rsid w:val="2BA33FD6"/>
    <w:rsid w:val="2BAD5B8F"/>
    <w:rsid w:val="2BBE4B93"/>
    <w:rsid w:val="2BC50A4F"/>
    <w:rsid w:val="2BDC0FBF"/>
    <w:rsid w:val="2BE0737D"/>
    <w:rsid w:val="2BE5357A"/>
    <w:rsid w:val="2BF41F57"/>
    <w:rsid w:val="2C1600FD"/>
    <w:rsid w:val="2C194F20"/>
    <w:rsid w:val="2C3F6D9D"/>
    <w:rsid w:val="2C480C66"/>
    <w:rsid w:val="2C611A87"/>
    <w:rsid w:val="2C73502A"/>
    <w:rsid w:val="2C7F1E98"/>
    <w:rsid w:val="2C82701B"/>
    <w:rsid w:val="2C8F4EE2"/>
    <w:rsid w:val="2C9853BF"/>
    <w:rsid w:val="2C9F3729"/>
    <w:rsid w:val="2CA3146B"/>
    <w:rsid w:val="2CA86A82"/>
    <w:rsid w:val="2CB724DB"/>
    <w:rsid w:val="2CB76EF1"/>
    <w:rsid w:val="2CBB2E97"/>
    <w:rsid w:val="2CBD1B48"/>
    <w:rsid w:val="2CC17B44"/>
    <w:rsid w:val="2CC27D3F"/>
    <w:rsid w:val="2CD07D30"/>
    <w:rsid w:val="2CED6D08"/>
    <w:rsid w:val="2CF15C5D"/>
    <w:rsid w:val="2CFE68C7"/>
    <w:rsid w:val="2D0619FA"/>
    <w:rsid w:val="2D1712DC"/>
    <w:rsid w:val="2D1E5872"/>
    <w:rsid w:val="2D26209C"/>
    <w:rsid w:val="2D4720FA"/>
    <w:rsid w:val="2D4D13D7"/>
    <w:rsid w:val="2D5E35E4"/>
    <w:rsid w:val="2D7459CA"/>
    <w:rsid w:val="2D754023"/>
    <w:rsid w:val="2D850B71"/>
    <w:rsid w:val="2D9061C4"/>
    <w:rsid w:val="2D9708A4"/>
    <w:rsid w:val="2D9C6DFA"/>
    <w:rsid w:val="2DA059AB"/>
    <w:rsid w:val="2DBD1C01"/>
    <w:rsid w:val="2DFA69C7"/>
    <w:rsid w:val="2E103F6A"/>
    <w:rsid w:val="2E1E0F66"/>
    <w:rsid w:val="2E2E2E3E"/>
    <w:rsid w:val="2E347E96"/>
    <w:rsid w:val="2E53520D"/>
    <w:rsid w:val="2E7068B9"/>
    <w:rsid w:val="2E7837C5"/>
    <w:rsid w:val="2E813672"/>
    <w:rsid w:val="2E84707B"/>
    <w:rsid w:val="2E913546"/>
    <w:rsid w:val="2E95328B"/>
    <w:rsid w:val="2EA46C8E"/>
    <w:rsid w:val="2EBB759D"/>
    <w:rsid w:val="2EC1562C"/>
    <w:rsid w:val="2ED743AA"/>
    <w:rsid w:val="2EE67D35"/>
    <w:rsid w:val="2EF44195"/>
    <w:rsid w:val="2F0D52C2"/>
    <w:rsid w:val="2F0D6D48"/>
    <w:rsid w:val="2F1226AC"/>
    <w:rsid w:val="2F200DEA"/>
    <w:rsid w:val="2F216E7C"/>
    <w:rsid w:val="2F237951"/>
    <w:rsid w:val="2F3A598B"/>
    <w:rsid w:val="2F407445"/>
    <w:rsid w:val="2F4C2370"/>
    <w:rsid w:val="2F5922B5"/>
    <w:rsid w:val="2F605776"/>
    <w:rsid w:val="2F6C1C91"/>
    <w:rsid w:val="2F805A94"/>
    <w:rsid w:val="2FA94AE9"/>
    <w:rsid w:val="2FE45FBE"/>
    <w:rsid w:val="2FF654B1"/>
    <w:rsid w:val="30052A0E"/>
    <w:rsid w:val="30204562"/>
    <w:rsid w:val="3041606E"/>
    <w:rsid w:val="305B02AF"/>
    <w:rsid w:val="306D7261"/>
    <w:rsid w:val="30802CA9"/>
    <w:rsid w:val="308030EF"/>
    <w:rsid w:val="308B3994"/>
    <w:rsid w:val="3095031B"/>
    <w:rsid w:val="30B853BC"/>
    <w:rsid w:val="30CC4912"/>
    <w:rsid w:val="30D174E0"/>
    <w:rsid w:val="30DF0C73"/>
    <w:rsid w:val="30ED53AB"/>
    <w:rsid w:val="31097D0B"/>
    <w:rsid w:val="310D4DC1"/>
    <w:rsid w:val="311C7E5F"/>
    <w:rsid w:val="31496877"/>
    <w:rsid w:val="31684A32"/>
    <w:rsid w:val="316F5DC0"/>
    <w:rsid w:val="318257C1"/>
    <w:rsid w:val="3189395F"/>
    <w:rsid w:val="31921242"/>
    <w:rsid w:val="3196159F"/>
    <w:rsid w:val="31A52014"/>
    <w:rsid w:val="31AF08B2"/>
    <w:rsid w:val="31C12394"/>
    <w:rsid w:val="31C970AE"/>
    <w:rsid w:val="31D45A43"/>
    <w:rsid w:val="31DE71EC"/>
    <w:rsid w:val="31E105EB"/>
    <w:rsid w:val="31E34C93"/>
    <w:rsid w:val="320329AC"/>
    <w:rsid w:val="322A0611"/>
    <w:rsid w:val="32333292"/>
    <w:rsid w:val="32523B47"/>
    <w:rsid w:val="325D20BC"/>
    <w:rsid w:val="3263725D"/>
    <w:rsid w:val="326A3FCC"/>
    <w:rsid w:val="32787286"/>
    <w:rsid w:val="3280783B"/>
    <w:rsid w:val="328F7EA1"/>
    <w:rsid w:val="329830F5"/>
    <w:rsid w:val="32B92537"/>
    <w:rsid w:val="32E2377C"/>
    <w:rsid w:val="32E707F0"/>
    <w:rsid w:val="32E7407C"/>
    <w:rsid w:val="32EE32B0"/>
    <w:rsid w:val="32F04CDF"/>
    <w:rsid w:val="32F4718B"/>
    <w:rsid w:val="32FD2FB7"/>
    <w:rsid w:val="33142BF6"/>
    <w:rsid w:val="332E4D02"/>
    <w:rsid w:val="335A61E7"/>
    <w:rsid w:val="335C2374"/>
    <w:rsid w:val="335D74F5"/>
    <w:rsid w:val="33610DBE"/>
    <w:rsid w:val="336458B3"/>
    <w:rsid w:val="337341DA"/>
    <w:rsid w:val="33752531"/>
    <w:rsid w:val="33802506"/>
    <w:rsid w:val="33840B84"/>
    <w:rsid w:val="338D69D1"/>
    <w:rsid w:val="339E389D"/>
    <w:rsid w:val="33D96522"/>
    <w:rsid w:val="33E505BB"/>
    <w:rsid w:val="33E83C08"/>
    <w:rsid w:val="33FD035F"/>
    <w:rsid w:val="341E0B9C"/>
    <w:rsid w:val="342176A3"/>
    <w:rsid w:val="342B1D46"/>
    <w:rsid w:val="343D2D00"/>
    <w:rsid w:val="34425A0E"/>
    <w:rsid w:val="344835B8"/>
    <w:rsid w:val="345179FF"/>
    <w:rsid w:val="34594B05"/>
    <w:rsid w:val="34632462"/>
    <w:rsid w:val="34750F59"/>
    <w:rsid w:val="347A3B83"/>
    <w:rsid w:val="347B017E"/>
    <w:rsid w:val="34A645E3"/>
    <w:rsid w:val="34B16DAC"/>
    <w:rsid w:val="34C05BB6"/>
    <w:rsid w:val="34C45B53"/>
    <w:rsid w:val="34CA334B"/>
    <w:rsid w:val="34DA0225"/>
    <w:rsid w:val="34E601D4"/>
    <w:rsid w:val="34ED0775"/>
    <w:rsid w:val="34F85693"/>
    <w:rsid w:val="35250796"/>
    <w:rsid w:val="352670DE"/>
    <w:rsid w:val="35431A3E"/>
    <w:rsid w:val="354A3DE6"/>
    <w:rsid w:val="35574DFC"/>
    <w:rsid w:val="35727DA0"/>
    <w:rsid w:val="35733491"/>
    <w:rsid w:val="357D05CC"/>
    <w:rsid w:val="357F40BA"/>
    <w:rsid w:val="35801055"/>
    <w:rsid w:val="358E07DF"/>
    <w:rsid w:val="35931348"/>
    <w:rsid w:val="359C2A96"/>
    <w:rsid w:val="35A3072E"/>
    <w:rsid w:val="35AE320A"/>
    <w:rsid w:val="35C45033"/>
    <w:rsid w:val="35D57CCA"/>
    <w:rsid w:val="35DE4A5D"/>
    <w:rsid w:val="35F218FE"/>
    <w:rsid w:val="36143668"/>
    <w:rsid w:val="362D1DA6"/>
    <w:rsid w:val="362D624A"/>
    <w:rsid w:val="36317AE8"/>
    <w:rsid w:val="363F162B"/>
    <w:rsid w:val="364610BA"/>
    <w:rsid w:val="364F38AE"/>
    <w:rsid w:val="3658788C"/>
    <w:rsid w:val="365B6072"/>
    <w:rsid w:val="367A5128"/>
    <w:rsid w:val="36AC3612"/>
    <w:rsid w:val="36AF1FF8"/>
    <w:rsid w:val="36B0226A"/>
    <w:rsid w:val="36D3722F"/>
    <w:rsid w:val="36FE4A4C"/>
    <w:rsid w:val="36FF2818"/>
    <w:rsid w:val="37027133"/>
    <w:rsid w:val="37074CED"/>
    <w:rsid w:val="370C789C"/>
    <w:rsid w:val="371F1384"/>
    <w:rsid w:val="372C7BF0"/>
    <w:rsid w:val="37335AE2"/>
    <w:rsid w:val="3762626B"/>
    <w:rsid w:val="376E4366"/>
    <w:rsid w:val="37904834"/>
    <w:rsid w:val="37B367B8"/>
    <w:rsid w:val="37DA2549"/>
    <w:rsid w:val="38164BCF"/>
    <w:rsid w:val="384E3668"/>
    <w:rsid w:val="385B709E"/>
    <w:rsid w:val="38670CF0"/>
    <w:rsid w:val="38724ABF"/>
    <w:rsid w:val="3881462B"/>
    <w:rsid w:val="38D155B2"/>
    <w:rsid w:val="38DC53D7"/>
    <w:rsid w:val="38DF77FF"/>
    <w:rsid w:val="390414E4"/>
    <w:rsid w:val="390D4EC0"/>
    <w:rsid w:val="39236C23"/>
    <w:rsid w:val="393A4F06"/>
    <w:rsid w:val="39456792"/>
    <w:rsid w:val="39504FEB"/>
    <w:rsid w:val="395C2F87"/>
    <w:rsid w:val="3969421B"/>
    <w:rsid w:val="396C733D"/>
    <w:rsid w:val="396F57F6"/>
    <w:rsid w:val="39A405D1"/>
    <w:rsid w:val="39A57F58"/>
    <w:rsid w:val="39A6259B"/>
    <w:rsid w:val="39C26CA9"/>
    <w:rsid w:val="39DF1F7D"/>
    <w:rsid w:val="39E6282D"/>
    <w:rsid w:val="39FB2745"/>
    <w:rsid w:val="3A056FCC"/>
    <w:rsid w:val="3A2E30DC"/>
    <w:rsid w:val="3A46345F"/>
    <w:rsid w:val="3A48333D"/>
    <w:rsid w:val="3A540C14"/>
    <w:rsid w:val="3A633AAD"/>
    <w:rsid w:val="3A7652E1"/>
    <w:rsid w:val="3A91285A"/>
    <w:rsid w:val="3A921028"/>
    <w:rsid w:val="3A976388"/>
    <w:rsid w:val="3AA23849"/>
    <w:rsid w:val="3AB64A60"/>
    <w:rsid w:val="3AB91DFF"/>
    <w:rsid w:val="3AC5403A"/>
    <w:rsid w:val="3AE07826"/>
    <w:rsid w:val="3B092270"/>
    <w:rsid w:val="3B0A0908"/>
    <w:rsid w:val="3B11520A"/>
    <w:rsid w:val="3B1659C9"/>
    <w:rsid w:val="3B1E01F1"/>
    <w:rsid w:val="3B3911ED"/>
    <w:rsid w:val="3B3A70B3"/>
    <w:rsid w:val="3B563B4D"/>
    <w:rsid w:val="3B5739DE"/>
    <w:rsid w:val="3B583D69"/>
    <w:rsid w:val="3B5F3E2E"/>
    <w:rsid w:val="3B7346FF"/>
    <w:rsid w:val="3B856845"/>
    <w:rsid w:val="3B893CDF"/>
    <w:rsid w:val="3B8A240C"/>
    <w:rsid w:val="3BBE284A"/>
    <w:rsid w:val="3BBF5B96"/>
    <w:rsid w:val="3BC136BC"/>
    <w:rsid w:val="3BDB554C"/>
    <w:rsid w:val="3BE409C9"/>
    <w:rsid w:val="3BEA37B7"/>
    <w:rsid w:val="3BEB36FA"/>
    <w:rsid w:val="3C084696"/>
    <w:rsid w:val="3C361FB4"/>
    <w:rsid w:val="3C395A2A"/>
    <w:rsid w:val="3C445CF9"/>
    <w:rsid w:val="3C4D5AE2"/>
    <w:rsid w:val="3C5B54BA"/>
    <w:rsid w:val="3C620F45"/>
    <w:rsid w:val="3C680368"/>
    <w:rsid w:val="3C6D73A0"/>
    <w:rsid w:val="3C7C5002"/>
    <w:rsid w:val="3C7C6AB9"/>
    <w:rsid w:val="3C89489A"/>
    <w:rsid w:val="3C910222"/>
    <w:rsid w:val="3CC935EE"/>
    <w:rsid w:val="3CCC4D6B"/>
    <w:rsid w:val="3CD66393"/>
    <w:rsid w:val="3CEF0B3D"/>
    <w:rsid w:val="3CF91B43"/>
    <w:rsid w:val="3D32108B"/>
    <w:rsid w:val="3D6C4B9F"/>
    <w:rsid w:val="3D6C7658"/>
    <w:rsid w:val="3D7E783F"/>
    <w:rsid w:val="3D8250CD"/>
    <w:rsid w:val="3D874611"/>
    <w:rsid w:val="3D943DD4"/>
    <w:rsid w:val="3DAC4CDE"/>
    <w:rsid w:val="3DB80AEF"/>
    <w:rsid w:val="3DB94159"/>
    <w:rsid w:val="3DD949AC"/>
    <w:rsid w:val="3DE75E6A"/>
    <w:rsid w:val="3DEA0F04"/>
    <w:rsid w:val="3E2148E6"/>
    <w:rsid w:val="3E2C167C"/>
    <w:rsid w:val="3E5C591E"/>
    <w:rsid w:val="3E6573F3"/>
    <w:rsid w:val="3E71234B"/>
    <w:rsid w:val="3E761ACE"/>
    <w:rsid w:val="3E762C45"/>
    <w:rsid w:val="3E784643"/>
    <w:rsid w:val="3E842069"/>
    <w:rsid w:val="3E9F1D36"/>
    <w:rsid w:val="3EA00FEF"/>
    <w:rsid w:val="3EA846BF"/>
    <w:rsid w:val="3EAD7F28"/>
    <w:rsid w:val="3EAF1EF2"/>
    <w:rsid w:val="3EBB53F7"/>
    <w:rsid w:val="3ED92ACB"/>
    <w:rsid w:val="3EDA55DD"/>
    <w:rsid w:val="3EE1333D"/>
    <w:rsid w:val="3EE93995"/>
    <w:rsid w:val="3EFF797D"/>
    <w:rsid w:val="3F0B06FD"/>
    <w:rsid w:val="3F187EB2"/>
    <w:rsid w:val="3F2744ED"/>
    <w:rsid w:val="3F29652B"/>
    <w:rsid w:val="3F3E2844"/>
    <w:rsid w:val="3F4703E8"/>
    <w:rsid w:val="3F52287D"/>
    <w:rsid w:val="3F536DF3"/>
    <w:rsid w:val="3F602D42"/>
    <w:rsid w:val="3F621BB4"/>
    <w:rsid w:val="3FB00F40"/>
    <w:rsid w:val="3FDA6AF3"/>
    <w:rsid w:val="3FDD2A8F"/>
    <w:rsid w:val="3FEC4A80"/>
    <w:rsid w:val="3FF604CB"/>
    <w:rsid w:val="3FF87944"/>
    <w:rsid w:val="401F6C03"/>
    <w:rsid w:val="40370CD0"/>
    <w:rsid w:val="40414DCB"/>
    <w:rsid w:val="40527B60"/>
    <w:rsid w:val="40541E30"/>
    <w:rsid w:val="40610FCA"/>
    <w:rsid w:val="40687F6E"/>
    <w:rsid w:val="4072582A"/>
    <w:rsid w:val="4080278D"/>
    <w:rsid w:val="40875AB4"/>
    <w:rsid w:val="408D1DBF"/>
    <w:rsid w:val="40907B01"/>
    <w:rsid w:val="40913960"/>
    <w:rsid w:val="40AF6B36"/>
    <w:rsid w:val="40B728E8"/>
    <w:rsid w:val="40B810FF"/>
    <w:rsid w:val="40C24443"/>
    <w:rsid w:val="40C552F4"/>
    <w:rsid w:val="40D03FF5"/>
    <w:rsid w:val="40DF0BBE"/>
    <w:rsid w:val="40FA2607"/>
    <w:rsid w:val="41140732"/>
    <w:rsid w:val="41287D39"/>
    <w:rsid w:val="414032D5"/>
    <w:rsid w:val="415949AA"/>
    <w:rsid w:val="415967A0"/>
    <w:rsid w:val="41761332"/>
    <w:rsid w:val="41A76937"/>
    <w:rsid w:val="41BD06D3"/>
    <w:rsid w:val="41CD7F90"/>
    <w:rsid w:val="41CF2217"/>
    <w:rsid w:val="41D063DF"/>
    <w:rsid w:val="41E56E62"/>
    <w:rsid w:val="41F11528"/>
    <w:rsid w:val="421B78D2"/>
    <w:rsid w:val="42350960"/>
    <w:rsid w:val="42363FAF"/>
    <w:rsid w:val="424A21AF"/>
    <w:rsid w:val="42535E6F"/>
    <w:rsid w:val="425863FC"/>
    <w:rsid w:val="42730896"/>
    <w:rsid w:val="42890CAC"/>
    <w:rsid w:val="428E3AF8"/>
    <w:rsid w:val="42A258CA"/>
    <w:rsid w:val="42A34301"/>
    <w:rsid w:val="42CB664C"/>
    <w:rsid w:val="42D26BF3"/>
    <w:rsid w:val="42DF08CC"/>
    <w:rsid w:val="42F500EF"/>
    <w:rsid w:val="4304574A"/>
    <w:rsid w:val="430957E5"/>
    <w:rsid w:val="431D774E"/>
    <w:rsid w:val="43230155"/>
    <w:rsid w:val="432B0484"/>
    <w:rsid w:val="43362BE2"/>
    <w:rsid w:val="434356F9"/>
    <w:rsid w:val="43486471"/>
    <w:rsid w:val="434F555A"/>
    <w:rsid w:val="4359124A"/>
    <w:rsid w:val="436D7C1D"/>
    <w:rsid w:val="438C3927"/>
    <w:rsid w:val="43B41D58"/>
    <w:rsid w:val="43CD1E62"/>
    <w:rsid w:val="43CD4BC8"/>
    <w:rsid w:val="43D926D1"/>
    <w:rsid w:val="43F8280E"/>
    <w:rsid w:val="43FB0763"/>
    <w:rsid w:val="4406686C"/>
    <w:rsid w:val="44236086"/>
    <w:rsid w:val="44265545"/>
    <w:rsid w:val="442A5B77"/>
    <w:rsid w:val="4436451B"/>
    <w:rsid w:val="443D6D1B"/>
    <w:rsid w:val="44411B52"/>
    <w:rsid w:val="4450633B"/>
    <w:rsid w:val="44657AF6"/>
    <w:rsid w:val="447F5EC2"/>
    <w:rsid w:val="4484172B"/>
    <w:rsid w:val="44863410"/>
    <w:rsid w:val="448C112F"/>
    <w:rsid w:val="449329A6"/>
    <w:rsid w:val="44A27E03"/>
    <w:rsid w:val="44A80D5F"/>
    <w:rsid w:val="44C66506"/>
    <w:rsid w:val="44DD45CA"/>
    <w:rsid w:val="44ED06DC"/>
    <w:rsid w:val="44ED2FD3"/>
    <w:rsid w:val="45050ABD"/>
    <w:rsid w:val="45077B57"/>
    <w:rsid w:val="452733C5"/>
    <w:rsid w:val="453C0CDF"/>
    <w:rsid w:val="454212E5"/>
    <w:rsid w:val="45667082"/>
    <w:rsid w:val="459C71FB"/>
    <w:rsid w:val="45B053BF"/>
    <w:rsid w:val="45BF7837"/>
    <w:rsid w:val="45CA502A"/>
    <w:rsid w:val="45D766CE"/>
    <w:rsid w:val="45DB1DD9"/>
    <w:rsid w:val="45E0795E"/>
    <w:rsid w:val="45F2564C"/>
    <w:rsid w:val="45FE71A3"/>
    <w:rsid w:val="46053D6C"/>
    <w:rsid w:val="460E34FF"/>
    <w:rsid w:val="46112286"/>
    <w:rsid w:val="46334354"/>
    <w:rsid w:val="4637328D"/>
    <w:rsid w:val="465A2517"/>
    <w:rsid w:val="465F56D9"/>
    <w:rsid w:val="46780E1B"/>
    <w:rsid w:val="467A0408"/>
    <w:rsid w:val="46921C7A"/>
    <w:rsid w:val="46957C1F"/>
    <w:rsid w:val="46975DF9"/>
    <w:rsid w:val="46C04935"/>
    <w:rsid w:val="46D00C57"/>
    <w:rsid w:val="46D1704F"/>
    <w:rsid w:val="46DC3AA0"/>
    <w:rsid w:val="46E60147"/>
    <w:rsid w:val="46E840F4"/>
    <w:rsid w:val="46F0143C"/>
    <w:rsid w:val="470923BB"/>
    <w:rsid w:val="470C03C3"/>
    <w:rsid w:val="470C712A"/>
    <w:rsid w:val="47182849"/>
    <w:rsid w:val="472F6522"/>
    <w:rsid w:val="473552EF"/>
    <w:rsid w:val="47456240"/>
    <w:rsid w:val="476B0980"/>
    <w:rsid w:val="47717B38"/>
    <w:rsid w:val="477478BD"/>
    <w:rsid w:val="478065CE"/>
    <w:rsid w:val="47887B72"/>
    <w:rsid w:val="478B22D9"/>
    <w:rsid w:val="479B1265"/>
    <w:rsid w:val="47A82162"/>
    <w:rsid w:val="47AC3C3E"/>
    <w:rsid w:val="47AC64AF"/>
    <w:rsid w:val="47C22C96"/>
    <w:rsid w:val="47C7119D"/>
    <w:rsid w:val="47CD0CDF"/>
    <w:rsid w:val="47FF5381"/>
    <w:rsid w:val="482E33E9"/>
    <w:rsid w:val="48373D54"/>
    <w:rsid w:val="483E035F"/>
    <w:rsid w:val="4841553B"/>
    <w:rsid w:val="484C6A03"/>
    <w:rsid w:val="485338EE"/>
    <w:rsid w:val="485C187E"/>
    <w:rsid w:val="485C3105"/>
    <w:rsid w:val="48625EFD"/>
    <w:rsid w:val="486E3D03"/>
    <w:rsid w:val="48825F81"/>
    <w:rsid w:val="488E4926"/>
    <w:rsid w:val="48921A6B"/>
    <w:rsid w:val="489857A5"/>
    <w:rsid w:val="489C177A"/>
    <w:rsid w:val="48B706D5"/>
    <w:rsid w:val="48D07DD7"/>
    <w:rsid w:val="48D45E7A"/>
    <w:rsid w:val="48DB66C1"/>
    <w:rsid w:val="48E46558"/>
    <w:rsid w:val="48EF4093"/>
    <w:rsid w:val="491E329F"/>
    <w:rsid w:val="4933371F"/>
    <w:rsid w:val="49553696"/>
    <w:rsid w:val="49690EEF"/>
    <w:rsid w:val="49966A6D"/>
    <w:rsid w:val="499F2B63"/>
    <w:rsid w:val="49A77192"/>
    <w:rsid w:val="49AB61DF"/>
    <w:rsid w:val="49AD1724"/>
    <w:rsid w:val="49B117DF"/>
    <w:rsid w:val="49B93C25"/>
    <w:rsid w:val="49D3756C"/>
    <w:rsid w:val="49D55AB2"/>
    <w:rsid w:val="49DA6ECD"/>
    <w:rsid w:val="49DA6F1D"/>
    <w:rsid w:val="49E3294E"/>
    <w:rsid w:val="49E97557"/>
    <w:rsid w:val="49F874C7"/>
    <w:rsid w:val="4A0F5304"/>
    <w:rsid w:val="4A3752D6"/>
    <w:rsid w:val="4A3A6944"/>
    <w:rsid w:val="4A3C51B1"/>
    <w:rsid w:val="4A4824A0"/>
    <w:rsid w:val="4A4D25BF"/>
    <w:rsid w:val="4A501A83"/>
    <w:rsid w:val="4A714F5D"/>
    <w:rsid w:val="4A767D68"/>
    <w:rsid w:val="4A8204BA"/>
    <w:rsid w:val="4A9E2CF5"/>
    <w:rsid w:val="4AA40090"/>
    <w:rsid w:val="4AC070E0"/>
    <w:rsid w:val="4AE44CD1"/>
    <w:rsid w:val="4B034374"/>
    <w:rsid w:val="4B215F25"/>
    <w:rsid w:val="4B573487"/>
    <w:rsid w:val="4B6B71A0"/>
    <w:rsid w:val="4B702A09"/>
    <w:rsid w:val="4B8758F9"/>
    <w:rsid w:val="4B934857"/>
    <w:rsid w:val="4B972D10"/>
    <w:rsid w:val="4BAE4EEC"/>
    <w:rsid w:val="4BC50A0E"/>
    <w:rsid w:val="4BCD7ADE"/>
    <w:rsid w:val="4BCE772F"/>
    <w:rsid w:val="4BE975BA"/>
    <w:rsid w:val="4C024C30"/>
    <w:rsid w:val="4C2546E0"/>
    <w:rsid w:val="4C25516F"/>
    <w:rsid w:val="4C2F1B7F"/>
    <w:rsid w:val="4C342F7B"/>
    <w:rsid w:val="4C3B2EDA"/>
    <w:rsid w:val="4C6D6081"/>
    <w:rsid w:val="4C7A3B91"/>
    <w:rsid w:val="4C7F6070"/>
    <w:rsid w:val="4C8E2F28"/>
    <w:rsid w:val="4C92075D"/>
    <w:rsid w:val="4CA971A6"/>
    <w:rsid w:val="4CC25593"/>
    <w:rsid w:val="4CD81F73"/>
    <w:rsid w:val="4CE4281B"/>
    <w:rsid w:val="4CED4E3E"/>
    <w:rsid w:val="4CFC7D24"/>
    <w:rsid w:val="4D106251"/>
    <w:rsid w:val="4D1A0E7E"/>
    <w:rsid w:val="4D1B6B7B"/>
    <w:rsid w:val="4D205D07"/>
    <w:rsid w:val="4D265A75"/>
    <w:rsid w:val="4D5A3970"/>
    <w:rsid w:val="4D616AAD"/>
    <w:rsid w:val="4D63477C"/>
    <w:rsid w:val="4D7F6F33"/>
    <w:rsid w:val="4D95370E"/>
    <w:rsid w:val="4DB50BA7"/>
    <w:rsid w:val="4DB91A91"/>
    <w:rsid w:val="4DE2741B"/>
    <w:rsid w:val="4DF9667C"/>
    <w:rsid w:val="4E135DA0"/>
    <w:rsid w:val="4E1A6A09"/>
    <w:rsid w:val="4E262178"/>
    <w:rsid w:val="4E3E294A"/>
    <w:rsid w:val="4E4121CB"/>
    <w:rsid w:val="4E5021EB"/>
    <w:rsid w:val="4E547D03"/>
    <w:rsid w:val="4E597D6B"/>
    <w:rsid w:val="4E830AE4"/>
    <w:rsid w:val="4E8A1AE4"/>
    <w:rsid w:val="4E8D742E"/>
    <w:rsid w:val="4E903B48"/>
    <w:rsid w:val="4E9206E8"/>
    <w:rsid w:val="4EB37287"/>
    <w:rsid w:val="4ED04098"/>
    <w:rsid w:val="4ED449DE"/>
    <w:rsid w:val="4EE45BBF"/>
    <w:rsid w:val="4EF32D9F"/>
    <w:rsid w:val="4F0C7024"/>
    <w:rsid w:val="4F233DD9"/>
    <w:rsid w:val="4F2A2ECF"/>
    <w:rsid w:val="4F3B654A"/>
    <w:rsid w:val="4F4B17C3"/>
    <w:rsid w:val="4F811967"/>
    <w:rsid w:val="4F881A5E"/>
    <w:rsid w:val="4F8E5E17"/>
    <w:rsid w:val="4F965B6C"/>
    <w:rsid w:val="4FA40BE2"/>
    <w:rsid w:val="4FA606C6"/>
    <w:rsid w:val="4FAD5777"/>
    <w:rsid w:val="4FB959CC"/>
    <w:rsid w:val="4FBF3F5F"/>
    <w:rsid w:val="4FDC241B"/>
    <w:rsid w:val="4FEB06BA"/>
    <w:rsid w:val="4FEC63D6"/>
    <w:rsid w:val="4FF60182"/>
    <w:rsid w:val="4FF6375B"/>
    <w:rsid w:val="4FFC486B"/>
    <w:rsid w:val="502930B1"/>
    <w:rsid w:val="503C19ED"/>
    <w:rsid w:val="50425E66"/>
    <w:rsid w:val="504B57F2"/>
    <w:rsid w:val="50590147"/>
    <w:rsid w:val="505D2290"/>
    <w:rsid w:val="505E0C68"/>
    <w:rsid w:val="505E5526"/>
    <w:rsid w:val="508C2093"/>
    <w:rsid w:val="508D63AE"/>
    <w:rsid w:val="50954C17"/>
    <w:rsid w:val="509727E6"/>
    <w:rsid w:val="50CC1FB3"/>
    <w:rsid w:val="50D37BB0"/>
    <w:rsid w:val="50E02613"/>
    <w:rsid w:val="50EB7D5F"/>
    <w:rsid w:val="50F72364"/>
    <w:rsid w:val="50F934A0"/>
    <w:rsid w:val="50FE0D8E"/>
    <w:rsid w:val="511B51A5"/>
    <w:rsid w:val="511F47BB"/>
    <w:rsid w:val="51345DF5"/>
    <w:rsid w:val="51351B70"/>
    <w:rsid w:val="513F261A"/>
    <w:rsid w:val="51580D64"/>
    <w:rsid w:val="515D57DD"/>
    <w:rsid w:val="51695F30"/>
    <w:rsid w:val="519A00E2"/>
    <w:rsid w:val="519F7BA4"/>
    <w:rsid w:val="51BF0701"/>
    <w:rsid w:val="51BF6283"/>
    <w:rsid w:val="51CC64BF"/>
    <w:rsid w:val="51CD2963"/>
    <w:rsid w:val="51E101BC"/>
    <w:rsid w:val="51E5495E"/>
    <w:rsid w:val="5215035A"/>
    <w:rsid w:val="52214A5D"/>
    <w:rsid w:val="52441A33"/>
    <w:rsid w:val="524900BC"/>
    <w:rsid w:val="525B6694"/>
    <w:rsid w:val="526C7747"/>
    <w:rsid w:val="52720E14"/>
    <w:rsid w:val="52A36F2A"/>
    <w:rsid w:val="52B100EE"/>
    <w:rsid w:val="52C053A1"/>
    <w:rsid w:val="52C93482"/>
    <w:rsid w:val="52EE36BA"/>
    <w:rsid w:val="52F1511E"/>
    <w:rsid w:val="52F3074C"/>
    <w:rsid w:val="52F937F9"/>
    <w:rsid w:val="53152489"/>
    <w:rsid w:val="531A48FD"/>
    <w:rsid w:val="53253BFD"/>
    <w:rsid w:val="532742F5"/>
    <w:rsid w:val="532E7431"/>
    <w:rsid w:val="533572B5"/>
    <w:rsid w:val="53374688"/>
    <w:rsid w:val="533C26A0"/>
    <w:rsid w:val="533E7BB4"/>
    <w:rsid w:val="5342116E"/>
    <w:rsid w:val="535D1AC5"/>
    <w:rsid w:val="53676EF7"/>
    <w:rsid w:val="53775DE2"/>
    <w:rsid w:val="537E3E9B"/>
    <w:rsid w:val="5390433B"/>
    <w:rsid w:val="539A3271"/>
    <w:rsid w:val="53A13E74"/>
    <w:rsid w:val="53A70F92"/>
    <w:rsid w:val="53AC55AD"/>
    <w:rsid w:val="53AE2337"/>
    <w:rsid w:val="53B67427"/>
    <w:rsid w:val="53B813FB"/>
    <w:rsid w:val="53BA386E"/>
    <w:rsid w:val="53CA6D53"/>
    <w:rsid w:val="53F06F7A"/>
    <w:rsid w:val="53F817ED"/>
    <w:rsid w:val="541859EC"/>
    <w:rsid w:val="544D7D8B"/>
    <w:rsid w:val="54524FB0"/>
    <w:rsid w:val="546445EF"/>
    <w:rsid w:val="54665F7C"/>
    <w:rsid w:val="54844077"/>
    <w:rsid w:val="548F08DD"/>
    <w:rsid w:val="549768D3"/>
    <w:rsid w:val="54B4010B"/>
    <w:rsid w:val="54BA09C5"/>
    <w:rsid w:val="54C00D80"/>
    <w:rsid w:val="54CE1958"/>
    <w:rsid w:val="54DB16AB"/>
    <w:rsid w:val="54E35D82"/>
    <w:rsid w:val="54F02758"/>
    <w:rsid w:val="54F0739A"/>
    <w:rsid w:val="551266C5"/>
    <w:rsid w:val="55247274"/>
    <w:rsid w:val="552E4E47"/>
    <w:rsid w:val="553134C5"/>
    <w:rsid w:val="55406BD4"/>
    <w:rsid w:val="55452810"/>
    <w:rsid w:val="554C0D3F"/>
    <w:rsid w:val="554C24FC"/>
    <w:rsid w:val="556526F1"/>
    <w:rsid w:val="55723E40"/>
    <w:rsid w:val="55782471"/>
    <w:rsid w:val="558A2919"/>
    <w:rsid w:val="558B123F"/>
    <w:rsid w:val="559C7FB0"/>
    <w:rsid w:val="55A91AF7"/>
    <w:rsid w:val="55C86CF9"/>
    <w:rsid w:val="55D22F1E"/>
    <w:rsid w:val="55D90D01"/>
    <w:rsid w:val="55DB7A83"/>
    <w:rsid w:val="55E93AE3"/>
    <w:rsid w:val="55F12998"/>
    <w:rsid w:val="55F2624D"/>
    <w:rsid w:val="55F65A3F"/>
    <w:rsid w:val="56094D32"/>
    <w:rsid w:val="561C215D"/>
    <w:rsid w:val="562D55F0"/>
    <w:rsid w:val="562F2A1E"/>
    <w:rsid w:val="563F10A5"/>
    <w:rsid w:val="564630DA"/>
    <w:rsid w:val="565F37EC"/>
    <w:rsid w:val="5665221F"/>
    <w:rsid w:val="568F02EB"/>
    <w:rsid w:val="56920816"/>
    <w:rsid w:val="569463D1"/>
    <w:rsid w:val="56981066"/>
    <w:rsid w:val="56A33C92"/>
    <w:rsid w:val="56B41453"/>
    <w:rsid w:val="56E30533"/>
    <w:rsid w:val="56FB1D20"/>
    <w:rsid w:val="570606C5"/>
    <w:rsid w:val="57063AC6"/>
    <w:rsid w:val="570D46CB"/>
    <w:rsid w:val="572333CB"/>
    <w:rsid w:val="572C3BF2"/>
    <w:rsid w:val="573D0987"/>
    <w:rsid w:val="575853A4"/>
    <w:rsid w:val="576B4A7B"/>
    <w:rsid w:val="576B602B"/>
    <w:rsid w:val="576E3136"/>
    <w:rsid w:val="577445B8"/>
    <w:rsid w:val="577A6F26"/>
    <w:rsid w:val="5787202E"/>
    <w:rsid w:val="57C573CE"/>
    <w:rsid w:val="57C57FC7"/>
    <w:rsid w:val="57CD530A"/>
    <w:rsid w:val="57E15AEA"/>
    <w:rsid w:val="57E82135"/>
    <w:rsid w:val="57E95AA3"/>
    <w:rsid w:val="57EE288A"/>
    <w:rsid w:val="57F329F7"/>
    <w:rsid w:val="580D34B7"/>
    <w:rsid w:val="581353D8"/>
    <w:rsid w:val="58260600"/>
    <w:rsid w:val="58325001"/>
    <w:rsid w:val="58461704"/>
    <w:rsid w:val="58780D98"/>
    <w:rsid w:val="58816255"/>
    <w:rsid w:val="589539B6"/>
    <w:rsid w:val="589E20CC"/>
    <w:rsid w:val="58BA3D40"/>
    <w:rsid w:val="58D63389"/>
    <w:rsid w:val="58D97E3F"/>
    <w:rsid w:val="58E67570"/>
    <w:rsid w:val="58FB4F16"/>
    <w:rsid w:val="590254FF"/>
    <w:rsid w:val="5903259A"/>
    <w:rsid w:val="5906263B"/>
    <w:rsid w:val="590B0CC6"/>
    <w:rsid w:val="59247993"/>
    <w:rsid w:val="59455105"/>
    <w:rsid w:val="59575208"/>
    <w:rsid w:val="595802E5"/>
    <w:rsid w:val="595C45CC"/>
    <w:rsid w:val="595E20F3"/>
    <w:rsid w:val="59672A07"/>
    <w:rsid w:val="598D419A"/>
    <w:rsid w:val="59B90FD8"/>
    <w:rsid w:val="59BF5FF1"/>
    <w:rsid w:val="59C3707C"/>
    <w:rsid w:val="59C879D0"/>
    <w:rsid w:val="5A0E0CBD"/>
    <w:rsid w:val="5A3265C5"/>
    <w:rsid w:val="5A3D43FE"/>
    <w:rsid w:val="5A70251E"/>
    <w:rsid w:val="5A8D7011"/>
    <w:rsid w:val="5AA46C44"/>
    <w:rsid w:val="5AAF6713"/>
    <w:rsid w:val="5AB4110C"/>
    <w:rsid w:val="5AB50184"/>
    <w:rsid w:val="5ABD31F7"/>
    <w:rsid w:val="5AD14B46"/>
    <w:rsid w:val="5AD22D98"/>
    <w:rsid w:val="5AD32144"/>
    <w:rsid w:val="5AE900E2"/>
    <w:rsid w:val="5AEF5E09"/>
    <w:rsid w:val="5B3146A5"/>
    <w:rsid w:val="5B323837"/>
    <w:rsid w:val="5B493CA7"/>
    <w:rsid w:val="5B503E5C"/>
    <w:rsid w:val="5B522515"/>
    <w:rsid w:val="5B607010"/>
    <w:rsid w:val="5B682508"/>
    <w:rsid w:val="5B810375"/>
    <w:rsid w:val="5B854367"/>
    <w:rsid w:val="5B8C1B25"/>
    <w:rsid w:val="5B9F283D"/>
    <w:rsid w:val="5BA04C44"/>
    <w:rsid w:val="5BA94674"/>
    <w:rsid w:val="5BAE2656"/>
    <w:rsid w:val="5BC97C5D"/>
    <w:rsid w:val="5BDA3036"/>
    <w:rsid w:val="5BF10AEC"/>
    <w:rsid w:val="5C221AFD"/>
    <w:rsid w:val="5C4C0928"/>
    <w:rsid w:val="5C5F065B"/>
    <w:rsid w:val="5C71213D"/>
    <w:rsid w:val="5C785377"/>
    <w:rsid w:val="5C7A1569"/>
    <w:rsid w:val="5C936557"/>
    <w:rsid w:val="5CB5471F"/>
    <w:rsid w:val="5CBE0005"/>
    <w:rsid w:val="5CFD4934"/>
    <w:rsid w:val="5CFF0A9D"/>
    <w:rsid w:val="5CFF1E3E"/>
    <w:rsid w:val="5CFF3BED"/>
    <w:rsid w:val="5D150EC0"/>
    <w:rsid w:val="5D2304C1"/>
    <w:rsid w:val="5D285E42"/>
    <w:rsid w:val="5D452FC0"/>
    <w:rsid w:val="5D63417B"/>
    <w:rsid w:val="5D796718"/>
    <w:rsid w:val="5D972077"/>
    <w:rsid w:val="5D99473C"/>
    <w:rsid w:val="5DA43E88"/>
    <w:rsid w:val="5DA85CBF"/>
    <w:rsid w:val="5DBE7604"/>
    <w:rsid w:val="5DC50B01"/>
    <w:rsid w:val="5DC5671C"/>
    <w:rsid w:val="5DD45079"/>
    <w:rsid w:val="5DF11787"/>
    <w:rsid w:val="5DF72B09"/>
    <w:rsid w:val="5DFD6560"/>
    <w:rsid w:val="5E13627E"/>
    <w:rsid w:val="5E1825EA"/>
    <w:rsid w:val="5E1831B8"/>
    <w:rsid w:val="5E1E00A2"/>
    <w:rsid w:val="5E460CDB"/>
    <w:rsid w:val="5E5162E3"/>
    <w:rsid w:val="5E543AC4"/>
    <w:rsid w:val="5E650700"/>
    <w:rsid w:val="5E6C7060"/>
    <w:rsid w:val="5E7F4FE5"/>
    <w:rsid w:val="5E8E04C4"/>
    <w:rsid w:val="5E8F0FA0"/>
    <w:rsid w:val="5E984FB3"/>
    <w:rsid w:val="5E9E7C24"/>
    <w:rsid w:val="5EA52572"/>
    <w:rsid w:val="5EC859D7"/>
    <w:rsid w:val="5EDE74AB"/>
    <w:rsid w:val="5EFD23AE"/>
    <w:rsid w:val="5F061262"/>
    <w:rsid w:val="5F0D0843"/>
    <w:rsid w:val="5F11296C"/>
    <w:rsid w:val="5F1E5004"/>
    <w:rsid w:val="5F2931A3"/>
    <w:rsid w:val="5F3437E9"/>
    <w:rsid w:val="5F3E6C4E"/>
    <w:rsid w:val="5F40142E"/>
    <w:rsid w:val="5F487759"/>
    <w:rsid w:val="5F5129E3"/>
    <w:rsid w:val="5F534103"/>
    <w:rsid w:val="5F6140CD"/>
    <w:rsid w:val="5F6D308F"/>
    <w:rsid w:val="5F6E3252"/>
    <w:rsid w:val="5F882526"/>
    <w:rsid w:val="5F8E1258"/>
    <w:rsid w:val="5FAA6092"/>
    <w:rsid w:val="5FAE6D03"/>
    <w:rsid w:val="5FB150F3"/>
    <w:rsid w:val="5FB31410"/>
    <w:rsid w:val="5FB40CBE"/>
    <w:rsid w:val="5FC775FE"/>
    <w:rsid w:val="5FD1465B"/>
    <w:rsid w:val="5FD50C35"/>
    <w:rsid w:val="5FD66E84"/>
    <w:rsid w:val="5FE12773"/>
    <w:rsid w:val="5FEB3AFA"/>
    <w:rsid w:val="5FEC0A13"/>
    <w:rsid w:val="5FFC2AFF"/>
    <w:rsid w:val="60074BE6"/>
    <w:rsid w:val="600D114D"/>
    <w:rsid w:val="601D751C"/>
    <w:rsid w:val="60244342"/>
    <w:rsid w:val="60255718"/>
    <w:rsid w:val="60341857"/>
    <w:rsid w:val="6037369D"/>
    <w:rsid w:val="60386112"/>
    <w:rsid w:val="60483F7F"/>
    <w:rsid w:val="607D4225"/>
    <w:rsid w:val="60966616"/>
    <w:rsid w:val="609D1752"/>
    <w:rsid w:val="609E3255"/>
    <w:rsid w:val="60A6532A"/>
    <w:rsid w:val="60A96349"/>
    <w:rsid w:val="60B3454A"/>
    <w:rsid w:val="60D9083F"/>
    <w:rsid w:val="60EA66DE"/>
    <w:rsid w:val="60FF41BB"/>
    <w:rsid w:val="610919F7"/>
    <w:rsid w:val="610C0686"/>
    <w:rsid w:val="610E7C27"/>
    <w:rsid w:val="611D6DA6"/>
    <w:rsid w:val="6126799A"/>
    <w:rsid w:val="613A51F3"/>
    <w:rsid w:val="613E7D90"/>
    <w:rsid w:val="61451357"/>
    <w:rsid w:val="61596B44"/>
    <w:rsid w:val="616F5A57"/>
    <w:rsid w:val="61856561"/>
    <w:rsid w:val="61900086"/>
    <w:rsid w:val="61A22ED6"/>
    <w:rsid w:val="61B2122D"/>
    <w:rsid w:val="61C93969"/>
    <w:rsid w:val="61E9055F"/>
    <w:rsid w:val="62012F9F"/>
    <w:rsid w:val="62083543"/>
    <w:rsid w:val="620F6680"/>
    <w:rsid w:val="621E4B8A"/>
    <w:rsid w:val="62283808"/>
    <w:rsid w:val="625B7B17"/>
    <w:rsid w:val="628E1C9B"/>
    <w:rsid w:val="62900449"/>
    <w:rsid w:val="62A933C2"/>
    <w:rsid w:val="62B96E5A"/>
    <w:rsid w:val="62CC6119"/>
    <w:rsid w:val="62D06F3F"/>
    <w:rsid w:val="62D368AD"/>
    <w:rsid w:val="62E04DD3"/>
    <w:rsid w:val="62E60A76"/>
    <w:rsid w:val="62EB2661"/>
    <w:rsid w:val="62EF200D"/>
    <w:rsid w:val="62F657DF"/>
    <w:rsid w:val="630737FB"/>
    <w:rsid w:val="630C20D1"/>
    <w:rsid w:val="63134F48"/>
    <w:rsid w:val="631A352E"/>
    <w:rsid w:val="63216B7E"/>
    <w:rsid w:val="63235A27"/>
    <w:rsid w:val="63267009"/>
    <w:rsid w:val="634155D1"/>
    <w:rsid w:val="634E142A"/>
    <w:rsid w:val="63623D81"/>
    <w:rsid w:val="636739CD"/>
    <w:rsid w:val="63853111"/>
    <w:rsid w:val="638F0EBA"/>
    <w:rsid w:val="6392698E"/>
    <w:rsid w:val="639E2B48"/>
    <w:rsid w:val="63C612ED"/>
    <w:rsid w:val="63CB1BEB"/>
    <w:rsid w:val="63CB3F1D"/>
    <w:rsid w:val="63D543BA"/>
    <w:rsid w:val="63DE4A21"/>
    <w:rsid w:val="63F21DB5"/>
    <w:rsid w:val="640B14C1"/>
    <w:rsid w:val="640C5F5B"/>
    <w:rsid w:val="640F0BE4"/>
    <w:rsid w:val="64185319"/>
    <w:rsid w:val="64202DC6"/>
    <w:rsid w:val="642F65FA"/>
    <w:rsid w:val="64341A2C"/>
    <w:rsid w:val="64441229"/>
    <w:rsid w:val="644D5813"/>
    <w:rsid w:val="645401C3"/>
    <w:rsid w:val="64595280"/>
    <w:rsid w:val="646611DF"/>
    <w:rsid w:val="646B101A"/>
    <w:rsid w:val="64737580"/>
    <w:rsid w:val="647C5B23"/>
    <w:rsid w:val="648270B8"/>
    <w:rsid w:val="648307BA"/>
    <w:rsid w:val="648844C8"/>
    <w:rsid w:val="648D5F82"/>
    <w:rsid w:val="649A514A"/>
    <w:rsid w:val="649F6788"/>
    <w:rsid w:val="64AF3EA5"/>
    <w:rsid w:val="64BD6867"/>
    <w:rsid w:val="64C12EF6"/>
    <w:rsid w:val="64C138A7"/>
    <w:rsid w:val="64C73242"/>
    <w:rsid w:val="64CA7244"/>
    <w:rsid w:val="64CF2721"/>
    <w:rsid w:val="64D534A9"/>
    <w:rsid w:val="64E6764E"/>
    <w:rsid w:val="64F007F4"/>
    <w:rsid w:val="64F261A4"/>
    <w:rsid w:val="64FC6FF7"/>
    <w:rsid w:val="64FE6A47"/>
    <w:rsid w:val="650B5D55"/>
    <w:rsid w:val="650C6633"/>
    <w:rsid w:val="651B533C"/>
    <w:rsid w:val="6531690D"/>
    <w:rsid w:val="65473546"/>
    <w:rsid w:val="655811BD"/>
    <w:rsid w:val="656D4FB5"/>
    <w:rsid w:val="657C5427"/>
    <w:rsid w:val="65863129"/>
    <w:rsid w:val="65A51ADB"/>
    <w:rsid w:val="65BC1EE7"/>
    <w:rsid w:val="65C60AAE"/>
    <w:rsid w:val="65D13C89"/>
    <w:rsid w:val="65ED7A5E"/>
    <w:rsid w:val="65F80CB9"/>
    <w:rsid w:val="65FA13F5"/>
    <w:rsid w:val="661757AD"/>
    <w:rsid w:val="66540667"/>
    <w:rsid w:val="665D2BE3"/>
    <w:rsid w:val="665E7BD6"/>
    <w:rsid w:val="668546DF"/>
    <w:rsid w:val="66990DB6"/>
    <w:rsid w:val="669E2A3B"/>
    <w:rsid w:val="66A852F5"/>
    <w:rsid w:val="66AB11E1"/>
    <w:rsid w:val="66B617C0"/>
    <w:rsid w:val="66C716A8"/>
    <w:rsid w:val="67000CFE"/>
    <w:rsid w:val="670569C2"/>
    <w:rsid w:val="6707152C"/>
    <w:rsid w:val="67397D9B"/>
    <w:rsid w:val="67485F77"/>
    <w:rsid w:val="674E38EF"/>
    <w:rsid w:val="675764CB"/>
    <w:rsid w:val="675E59B4"/>
    <w:rsid w:val="676B07FC"/>
    <w:rsid w:val="677F7E04"/>
    <w:rsid w:val="6780592A"/>
    <w:rsid w:val="67884E43"/>
    <w:rsid w:val="678E6299"/>
    <w:rsid w:val="67957627"/>
    <w:rsid w:val="67AA1026"/>
    <w:rsid w:val="67B6759E"/>
    <w:rsid w:val="67D07ABB"/>
    <w:rsid w:val="67DD5341"/>
    <w:rsid w:val="67F44F40"/>
    <w:rsid w:val="67F66554"/>
    <w:rsid w:val="68042812"/>
    <w:rsid w:val="680904C3"/>
    <w:rsid w:val="68120879"/>
    <w:rsid w:val="681F5143"/>
    <w:rsid w:val="68246380"/>
    <w:rsid w:val="68413715"/>
    <w:rsid w:val="684E5A28"/>
    <w:rsid w:val="68513114"/>
    <w:rsid w:val="685B745D"/>
    <w:rsid w:val="68662D83"/>
    <w:rsid w:val="68862C85"/>
    <w:rsid w:val="688E2AB4"/>
    <w:rsid w:val="689871CF"/>
    <w:rsid w:val="68A775BD"/>
    <w:rsid w:val="68AC6618"/>
    <w:rsid w:val="68BF2460"/>
    <w:rsid w:val="68BF2482"/>
    <w:rsid w:val="68D10BFD"/>
    <w:rsid w:val="68DB3A6B"/>
    <w:rsid w:val="68F417BA"/>
    <w:rsid w:val="68FE51D9"/>
    <w:rsid w:val="690A0A05"/>
    <w:rsid w:val="69125DA7"/>
    <w:rsid w:val="691856FA"/>
    <w:rsid w:val="691B0000"/>
    <w:rsid w:val="69252C2D"/>
    <w:rsid w:val="695A7FBA"/>
    <w:rsid w:val="69717C20"/>
    <w:rsid w:val="69790883"/>
    <w:rsid w:val="697F0AC3"/>
    <w:rsid w:val="69803ECF"/>
    <w:rsid w:val="69806D56"/>
    <w:rsid w:val="698536CB"/>
    <w:rsid w:val="698A12E2"/>
    <w:rsid w:val="698B6900"/>
    <w:rsid w:val="69925B6A"/>
    <w:rsid w:val="699A4162"/>
    <w:rsid w:val="69A07D45"/>
    <w:rsid w:val="69CB4FCC"/>
    <w:rsid w:val="6A0C3C10"/>
    <w:rsid w:val="6A2E6FE7"/>
    <w:rsid w:val="6A2F728B"/>
    <w:rsid w:val="6A39302B"/>
    <w:rsid w:val="6A4D3729"/>
    <w:rsid w:val="6A71436D"/>
    <w:rsid w:val="6A7D2D32"/>
    <w:rsid w:val="6A8614A9"/>
    <w:rsid w:val="6A98685B"/>
    <w:rsid w:val="6AD830DB"/>
    <w:rsid w:val="6AE65966"/>
    <w:rsid w:val="6AF45E1C"/>
    <w:rsid w:val="6AFE4238"/>
    <w:rsid w:val="6B00720D"/>
    <w:rsid w:val="6B013226"/>
    <w:rsid w:val="6B0E2100"/>
    <w:rsid w:val="6B1222ED"/>
    <w:rsid w:val="6B1C3BBC"/>
    <w:rsid w:val="6B2111D2"/>
    <w:rsid w:val="6B4379BA"/>
    <w:rsid w:val="6B480E55"/>
    <w:rsid w:val="6B69727F"/>
    <w:rsid w:val="6B6F63E1"/>
    <w:rsid w:val="6B7B1AB7"/>
    <w:rsid w:val="6B7E377C"/>
    <w:rsid w:val="6B7F395C"/>
    <w:rsid w:val="6B9E7909"/>
    <w:rsid w:val="6BA10600"/>
    <w:rsid w:val="6BAA566B"/>
    <w:rsid w:val="6BB9765C"/>
    <w:rsid w:val="6BBA58AE"/>
    <w:rsid w:val="6BC244D0"/>
    <w:rsid w:val="6BC56001"/>
    <w:rsid w:val="6BE741CA"/>
    <w:rsid w:val="6BFD472D"/>
    <w:rsid w:val="6C2974C2"/>
    <w:rsid w:val="6C2A2439"/>
    <w:rsid w:val="6C327B3B"/>
    <w:rsid w:val="6C4058ED"/>
    <w:rsid w:val="6C4A73AA"/>
    <w:rsid w:val="6C520D5F"/>
    <w:rsid w:val="6C6E6699"/>
    <w:rsid w:val="6C6F3584"/>
    <w:rsid w:val="6C8975E2"/>
    <w:rsid w:val="6CA37694"/>
    <w:rsid w:val="6CAD72EA"/>
    <w:rsid w:val="6CB443E2"/>
    <w:rsid w:val="6CB6534E"/>
    <w:rsid w:val="6CC91B21"/>
    <w:rsid w:val="6CD61E37"/>
    <w:rsid w:val="6CE63C04"/>
    <w:rsid w:val="6D0022E6"/>
    <w:rsid w:val="6D0D4210"/>
    <w:rsid w:val="6D1D357D"/>
    <w:rsid w:val="6D25254C"/>
    <w:rsid w:val="6D345116"/>
    <w:rsid w:val="6D3B47CD"/>
    <w:rsid w:val="6D444ED7"/>
    <w:rsid w:val="6D45564C"/>
    <w:rsid w:val="6D565C40"/>
    <w:rsid w:val="6D661DA2"/>
    <w:rsid w:val="6D6714EC"/>
    <w:rsid w:val="6D68133A"/>
    <w:rsid w:val="6D736D24"/>
    <w:rsid w:val="6D793547"/>
    <w:rsid w:val="6DA71E62"/>
    <w:rsid w:val="6DBE2696"/>
    <w:rsid w:val="6DD048FC"/>
    <w:rsid w:val="6DD93FE6"/>
    <w:rsid w:val="6DDC7205"/>
    <w:rsid w:val="6DF747FD"/>
    <w:rsid w:val="6E170713"/>
    <w:rsid w:val="6E2711F5"/>
    <w:rsid w:val="6E2B50C1"/>
    <w:rsid w:val="6E6132E5"/>
    <w:rsid w:val="6E62222D"/>
    <w:rsid w:val="6E7D5AF8"/>
    <w:rsid w:val="6E8977BA"/>
    <w:rsid w:val="6E986287"/>
    <w:rsid w:val="6EA33A11"/>
    <w:rsid w:val="6EA9429E"/>
    <w:rsid w:val="6EAE1A4E"/>
    <w:rsid w:val="6EBC7B8F"/>
    <w:rsid w:val="6ED12012"/>
    <w:rsid w:val="6ED547AD"/>
    <w:rsid w:val="6ED8604B"/>
    <w:rsid w:val="6EEC3EB3"/>
    <w:rsid w:val="6EF8049C"/>
    <w:rsid w:val="6F1D77EC"/>
    <w:rsid w:val="6F2D733C"/>
    <w:rsid w:val="6F2F7489"/>
    <w:rsid w:val="6F394F51"/>
    <w:rsid w:val="6F5E6073"/>
    <w:rsid w:val="6F694B77"/>
    <w:rsid w:val="6F773AB6"/>
    <w:rsid w:val="6F7867EC"/>
    <w:rsid w:val="6F85011A"/>
    <w:rsid w:val="6F8F7052"/>
    <w:rsid w:val="6F962F74"/>
    <w:rsid w:val="6F9F08D2"/>
    <w:rsid w:val="6FAF590C"/>
    <w:rsid w:val="6FB567CB"/>
    <w:rsid w:val="6FC54822"/>
    <w:rsid w:val="6FCE1F3D"/>
    <w:rsid w:val="6FE9000B"/>
    <w:rsid w:val="6FF706EC"/>
    <w:rsid w:val="70003AAC"/>
    <w:rsid w:val="700853C0"/>
    <w:rsid w:val="700E61C9"/>
    <w:rsid w:val="70257102"/>
    <w:rsid w:val="70425E72"/>
    <w:rsid w:val="70490FE3"/>
    <w:rsid w:val="704B4447"/>
    <w:rsid w:val="706330E4"/>
    <w:rsid w:val="7064228D"/>
    <w:rsid w:val="706944A2"/>
    <w:rsid w:val="70814BED"/>
    <w:rsid w:val="70822713"/>
    <w:rsid w:val="70B12FF8"/>
    <w:rsid w:val="70C76713"/>
    <w:rsid w:val="70E32650"/>
    <w:rsid w:val="70EB02B8"/>
    <w:rsid w:val="70F85DFA"/>
    <w:rsid w:val="710A6A97"/>
    <w:rsid w:val="71600CA6"/>
    <w:rsid w:val="716562BC"/>
    <w:rsid w:val="71675556"/>
    <w:rsid w:val="717518B6"/>
    <w:rsid w:val="71762034"/>
    <w:rsid w:val="717629EC"/>
    <w:rsid w:val="718830CB"/>
    <w:rsid w:val="719F355D"/>
    <w:rsid w:val="71BC78C8"/>
    <w:rsid w:val="71BF07D8"/>
    <w:rsid w:val="71CF3736"/>
    <w:rsid w:val="72243CB5"/>
    <w:rsid w:val="7235491B"/>
    <w:rsid w:val="723C1852"/>
    <w:rsid w:val="72446A73"/>
    <w:rsid w:val="7249173A"/>
    <w:rsid w:val="7256750B"/>
    <w:rsid w:val="727147ED"/>
    <w:rsid w:val="727D13E4"/>
    <w:rsid w:val="72814BB1"/>
    <w:rsid w:val="728317C6"/>
    <w:rsid w:val="72871C9A"/>
    <w:rsid w:val="728C7879"/>
    <w:rsid w:val="729869BA"/>
    <w:rsid w:val="72BF7D81"/>
    <w:rsid w:val="72C67A8E"/>
    <w:rsid w:val="72C80F4C"/>
    <w:rsid w:val="72CD714E"/>
    <w:rsid w:val="72D512B8"/>
    <w:rsid w:val="72DD2049"/>
    <w:rsid w:val="72EF3E23"/>
    <w:rsid w:val="730942AF"/>
    <w:rsid w:val="731C0BFD"/>
    <w:rsid w:val="733C220F"/>
    <w:rsid w:val="734748C6"/>
    <w:rsid w:val="734E2001"/>
    <w:rsid w:val="73555CD0"/>
    <w:rsid w:val="73573209"/>
    <w:rsid w:val="73685547"/>
    <w:rsid w:val="73847654"/>
    <w:rsid w:val="738D4D28"/>
    <w:rsid w:val="73947520"/>
    <w:rsid w:val="73A03347"/>
    <w:rsid w:val="73B14760"/>
    <w:rsid w:val="73C66DBA"/>
    <w:rsid w:val="73D2114A"/>
    <w:rsid w:val="73DB25D5"/>
    <w:rsid w:val="73E47DF4"/>
    <w:rsid w:val="73EC5D65"/>
    <w:rsid w:val="73ED170E"/>
    <w:rsid w:val="74011985"/>
    <w:rsid w:val="74192B43"/>
    <w:rsid w:val="741E6BF6"/>
    <w:rsid w:val="74313441"/>
    <w:rsid w:val="74347D2F"/>
    <w:rsid w:val="744328F6"/>
    <w:rsid w:val="745C35C3"/>
    <w:rsid w:val="74615C4F"/>
    <w:rsid w:val="74822CE1"/>
    <w:rsid w:val="748638CE"/>
    <w:rsid w:val="7494424F"/>
    <w:rsid w:val="74A52E74"/>
    <w:rsid w:val="74B65081"/>
    <w:rsid w:val="74BA06CD"/>
    <w:rsid w:val="74BB0E37"/>
    <w:rsid w:val="74CA0DEC"/>
    <w:rsid w:val="74D86DA5"/>
    <w:rsid w:val="74EC16CB"/>
    <w:rsid w:val="74F0309B"/>
    <w:rsid w:val="74F37A40"/>
    <w:rsid w:val="74FD2437"/>
    <w:rsid w:val="7509459E"/>
    <w:rsid w:val="750E4A90"/>
    <w:rsid w:val="751C3136"/>
    <w:rsid w:val="751E5BD0"/>
    <w:rsid w:val="752F5ABC"/>
    <w:rsid w:val="753D0631"/>
    <w:rsid w:val="754731FC"/>
    <w:rsid w:val="755869A5"/>
    <w:rsid w:val="756E5F67"/>
    <w:rsid w:val="75752846"/>
    <w:rsid w:val="757E71AA"/>
    <w:rsid w:val="757E786F"/>
    <w:rsid w:val="759174F7"/>
    <w:rsid w:val="75942B4E"/>
    <w:rsid w:val="75A11CFC"/>
    <w:rsid w:val="75AA312C"/>
    <w:rsid w:val="75AA35FC"/>
    <w:rsid w:val="75AB284D"/>
    <w:rsid w:val="75AD32E9"/>
    <w:rsid w:val="75B112C0"/>
    <w:rsid w:val="75BC776E"/>
    <w:rsid w:val="75BC7CF0"/>
    <w:rsid w:val="75EB48B6"/>
    <w:rsid w:val="75ED4631"/>
    <w:rsid w:val="75F714AD"/>
    <w:rsid w:val="76071E48"/>
    <w:rsid w:val="760858AB"/>
    <w:rsid w:val="760918A6"/>
    <w:rsid w:val="76424E1E"/>
    <w:rsid w:val="765E1C52"/>
    <w:rsid w:val="767B4D87"/>
    <w:rsid w:val="767D3541"/>
    <w:rsid w:val="76AB1B8B"/>
    <w:rsid w:val="76B14986"/>
    <w:rsid w:val="76E23F0B"/>
    <w:rsid w:val="76F1414E"/>
    <w:rsid w:val="770A777B"/>
    <w:rsid w:val="770C2902"/>
    <w:rsid w:val="772F463A"/>
    <w:rsid w:val="773D3837"/>
    <w:rsid w:val="77603BC8"/>
    <w:rsid w:val="77632536"/>
    <w:rsid w:val="77804670"/>
    <w:rsid w:val="77866F8C"/>
    <w:rsid w:val="77874263"/>
    <w:rsid w:val="77886AF0"/>
    <w:rsid w:val="778877C6"/>
    <w:rsid w:val="7789289C"/>
    <w:rsid w:val="778E7DD0"/>
    <w:rsid w:val="77A75F6B"/>
    <w:rsid w:val="77B55490"/>
    <w:rsid w:val="77C471F6"/>
    <w:rsid w:val="77D00208"/>
    <w:rsid w:val="77D86B78"/>
    <w:rsid w:val="77E22743"/>
    <w:rsid w:val="77EF7BE9"/>
    <w:rsid w:val="77F975CB"/>
    <w:rsid w:val="78076E2B"/>
    <w:rsid w:val="780906E3"/>
    <w:rsid w:val="780F38EA"/>
    <w:rsid w:val="781A5A23"/>
    <w:rsid w:val="782625D5"/>
    <w:rsid w:val="782642CC"/>
    <w:rsid w:val="783469E8"/>
    <w:rsid w:val="783562BD"/>
    <w:rsid w:val="78544995"/>
    <w:rsid w:val="786D11DF"/>
    <w:rsid w:val="7870155E"/>
    <w:rsid w:val="78706008"/>
    <w:rsid w:val="78956723"/>
    <w:rsid w:val="78A31D23"/>
    <w:rsid w:val="78B41BC1"/>
    <w:rsid w:val="790D7BDB"/>
    <w:rsid w:val="79274D2F"/>
    <w:rsid w:val="79301296"/>
    <w:rsid w:val="79330A4E"/>
    <w:rsid w:val="79437B01"/>
    <w:rsid w:val="79652883"/>
    <w:rsid w:val="79944A3F"/>
    <w:rsid w:val="79AB2B0E"/>
    <w:rsid w:val="79B65779"/>
    <w:rsid w:val="79BE1084"/>
    <w:rsid w:val="79BF6F7F"/>
    <w:rsid w:val="79CC3E79"/>
    <w:rsid w:val="79CE4C1B"/>
    <w:rsid w:val="79D338C4"/>
    <w:rsid w:val="79D7264F"/>
    <w:rsid w:val="79F33231"/>
    <w:rsid w:val="79F71EFC"/>
    <w:rsid w:val="79FA118F"/>
    <w:rsid w:val="7A0407F4"/>
    <w:rsid w:val="7A0B3779"/>
    <w:rsid w:val="7A2E49E6"/>
    <w:rsid w:val="7A492AB6"/>
    <w:rsid w:val="7A4D2A95"/>
    <w:rsid w:val="7A626016"/>
    <w:rsid w:val="7A7B2887"/>
    <w:rsid w:val="7A7F20CC"/>
    <w:rsid w:val="7AA31C03"/>
    <w:rsid w:val="7AB16F32"/>
    <w:rsid w:val="7ABD40F5"/>
    <w:rsid w:val="7ACB6A1D"/>
    <w:rsid w:val="7ACC2F08"/>
    <w:rsid w:val="7AFB2BA6"/>
    <w:rsid w:val="7B31646F"/>
    <w:rsid w:val="7B3926A7"/>
    <w:rsid w:val="7B4B534C"/>
    <w:rsid w:val="7B5219DC"/>
    <w:rsid w:val="7B537186"/>
    <w:rsid w:val="7B626DD1"/>
    <w:rsid w:val="7B6535D2"/>
    <w:rsid w:val="7B6E6883"/>
    <w:rsid w:val="7B72790E"/>
    <w:rsid w:val="7B94504F"/>
    <w:rsid w:val="7BA23370"/>
    <w:rsid w:val="7BA97621"/>
    <w:rsid w:val="7BBC0880"/>
    <w:rsid w:val="7BC97448"/>
    <w:rsid w:val="7BCB6A63"/>
    <w:rsid w:val="7BCF659A"/>
    <w:rsid w:val="7BD00C93"/>
    <w:rsid w:val="7BD5267D"/>
    <w:rsid w:val="7C0A585B"/>
    <w:rsid w:val="7C0E7550"/>
    <w:rsid w:val="7C13121B"/>
    <w:rsid w:val="7C155F96"/>
    <w:rsid w:val="7C35247C"/>
    <w:rsid w:val="7C4700F4"/>
    <w:rsid w:val="7C490589"/>
    <w:rsid w:val="7C505034"/>
    <w:rsid w:val="7C596A1E"/>
    <w:rsid w:val="7C815DB4"/>
    <w:rsid w:val="7C907955"/>
    <w:rsid w:val="7C997E51"/>
    <w:rsid w:val="7C9E5A6F"/>
    <w:rsid w:val="7CA5443B"/>
    <w:rsid w:val="7CA5646C"/>
    <w:rsid w:val="7CB047A3"/>
    <w:rsid w:val="7CB15A3C"/>
    <w:rsid w:val="7CC73C5F"/>
    <w:rsid w:val="7CE30783"/>
    <w:rsid w:val="7CE720D9"/>
    <w:rsid w:val="7CE748D2"/>
    <w:rsid w:val="7CEC5AE4"/>
    <w:rsid w:val="7D015E78"/>
    <w:rsid w:val="7D031C58"/>
    <w:rsid w:val="7D2B31A2"/>
    <w:rsid w:val="7D374675"/>
    <w:rsid w:val="7D484972"/>
    <w:rsid w:val="7D697FAC"/>
    <w:rsid w:val="7D7D680A"/>
    <w:rsid w:val="7D85345A"/>
    <w:rsid w:val="7D94784B"/>
    <w:rsid w:val="7DA278F7"/>
    <w:rsid w:val="7DB14637"/>
    <w:rsid w:val="7DD22B27"/>
    <w:rsid w:val="7DD731CA"/>
    <w:rsid w:val="7DF7741D"/>
    <w:rsid w:val="7E42494F"/>
    <w:rsid w:val="7E461E85"/>
    <w:rsid w:val="7E4F4AA5"/>
    <w:rsid w:val="7E5356EF"/>
    <w:rsid w:val="7E570A66"/>
    <w:rsid w:val="7E5E35BA"/>
    <w:rsid w:val="7E6B6EDC"/>
    <w:rsid w:val="7E932268"/>
    <w:rsid w:val="7E9B29FB"/>
    <w:rsid w:val="7EA30AD2"/>
    <w:rsid w:val="7ED22AB7"/>
    <w:rsid w:val="7EEF5417"/>
    <w:rsid w:val="7EF86151"/>
    <w:rsid w:val="7F0C5FC9"/>
    <w:rsid w:val="7F0F0952"/>
    <w:rsid w:val="7F0F14DD"/>
    <w:rsid w:val="7F1944EA"/>
    <w:rsid w:val="7F1B26B0"/>
    <w:rsid w:val="7F36724F"/>
    <w:rsid w:val="7F48311E"/>
    <w:rsid w:val="7F4B7FF1"/>
    <w:rsid w:val="7F596D35"/>
    <w:rsid w:val="7F721FBF"/>
    <w:rsid w:val="7F791185"/>
    <w:rsid w:val="7F8340A1"/>
    <w:rsid w:val="7F9D4AD3"/>
    <w:rsid w:val="7FB0202F"/>
    <w:rsid w:val="7FC35E9B"/>
    <w:rsid w:val="7FD85988"/>
    <w:rsid w:val="7FDB3A9C"/>
    <w:rsid w:val="7FDF3F4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99"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qFormat="1"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3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1"/>
    <w:basedOn w:val="1"/>
    <w:next w:val="1"/>
    <w:link w:val="230"/>
    <w:qFormat/>
    <w:uiPriority w:val="0"/>
    <w:pPr>
      <w:keepNext/>
      <w:spacing w:before="240" w:after="60"/>
      <w:jc w:val="center"/>
      <w:outlineLvl w:val="0"/>
    </w:pPr>
    <w:rPr>
      <w:rFonts w:ascii="Cambria" w:hAnsi="Cambria"/>
      <w:b/>
      <w:bCs/>
      <w:kern w:val="32"/>
      <w:sz w:val="32"/>
      <w:szCs w:val="32"/>
    </w:rPr>
  </w:style>
  <w:style w:type="paragraph" w:styleId="3">
    <w:name w:val="heading 2"/>
    <w:basedOn w:val="2"/>
    <w:next w:val="4"/>
    <w:link w:val="231"/>
    <w:qFormat/>
    <w:uiPriority w:val="9"/>
    <w:pPr>
      <w:keepNext/>
      <w:spacing w:before="240" w:after="60"/>
      <w:jc w:val="center"/>
      <w:outlineLvl w:val="1"/>
    </w:pPr>
    <w:rPr>
      <w:rFonts w:ascii="Cambria" w:hAnsi="Cambria"/>
      <w:iCs/>
      <w:sz w:val="28"/>
      <w:szCs w:val="28"/>
    </w:rPr>
  </w:style>
  <w:style w:type="paragraph" w:styleId="4">
    <w:name w:val="heading 3"/>
    <w:basedOn w:val="1"/>
    <w:next w:val="1"/>
    <w:link w:val="232"/>
    <w:qFormat/>
    <w:uiPriority w:val="9"/>
    <w:pPr>
      <w:keepNext/>
      <w:tabs>
        <w:tab w:val="left" w:pos="1680"/>
        <w:tab w:val="left" w:pos="2100"/>
      </w:tabs>
      <w:spacing w:before="240" w:after="60"/>
      <w:outlineLvl w:val="2"/>
    </w:pPr>
    <w:rPr>
      <w:rFonts w:ascii="Cambria" w:hAnsi="Cambria"/>
      <w:b/>
      <w:bCs/>
      <w:sz w:val="26"/>
      <w:szCs w:val="26"/>
    </w:rPr>
  </w:style>
  <w:style w:type="paragraph" w:styleId="5">
    <w:name w:val="heading 4"/>
    <w:basedOn w:val="1"/>
    <w:next w:val="1"/>
    <w:link w:val="229"/>
    <w:qFormat/>
    <w:uiPriority w:val="9"/>
    <w:pPr>
      <w:keepNext/>
      <w:spacing w:before="240" w:after="60"/>
      <w:jc w:val="center"/>
      <w:outlineLvl w:val="3"/>
    </w:pPr>
    <w:rPr>
      <w:b/>
      <w:bCs/>
      <w:sz w:val="28"/>
      <w:szCs w:val="28"/>
    </w:rPr>
  </w:style>
  <w:style w:type="paragraph" w:styleId="6">
    <w:name w:val="heading 5"/>
    <w:basedOn w:val="1"/>
    <w:next w:val="1"/>
    <w:link w:val="233"/>
    <w:qFormat/>
    <w:uiPriority w:val="9"/>
    <w:pPr>
      <w:spacing w:before="240" w:after="60"/>
      <w:outlineLvl w:val="4"/>
    </w:pPr>
    <w:rPr>
      <w:b/>
      <w:bCs/>
      <w:i/>
      <w:iCs/>
      <w:sz w:val="26"/>
      <w:szCs w:val="26"/>
    </w:rPr>
  </w:style>
  <w:style w:type="paragraph" w:styleId="7">
    <w:name w:val="heading 6"/>
    <w:basedOn w:val="1"/>
    <w:next w:val="1"/>
    <w:link w:val="234"/>
    <w:qFormat/>
    <w:uiPriority w:val="9"/>
    <w:pPr>
      <w:spacing w:before="240" w:after="60"/>
      <w:outlineLvl w:val="5"/>
    </w:pPr>
    <w:rPr>
      <w:b/>
      <w:bCs/>
      <w:sz w:val="20"/>
      <w:szCs w:val="20"/>
    </w:rPr>
  </w:style>
  <w:style w:type="paragraph" w:styleId="8">
    <w:name w:val="heading 7"/>
    <w:basedOn w:val="1"/>
    <w:next w:val="1"/>
    <w:link w:val="235"/>
    <w:qFormat/>
    <w:uiPriority w:val="9"/>
    <w:pPr>
      <w:spacing w:before="240" w:after="60"/>
      <w:outlineLvl w:val="6"/>
    </w:pPr>
  </w:style>
  <w:style w:type="paragraph" w:styleId="9">
    <w:name w:val="heading 8"/>
    <w:basedOn w:val="1"/>
    <w:next w:val="1"/>
    <w:link w:val="236"/>
    <w:qFormat/>
    <w:uiPriority w:val="9"/>
    <w:pPr>
      <w:spacing w:before="240" w:after="60"/>
      <w:outlineLvl w:val="7"/>
    </w:pPr>
    <w:rPr>
      <w:i/>
      <w:iCs/>
    </w:rPr>
  </w:style>
  <w:style w:type="paragraph" w:styleId="10">
    <w:name w:val="heading 9"/>
    <w:basedOn w:val="1"/>
    <w:next w:val="1"/>
    <w:link w:val="237"/>
    <w:qFormat/>
    <w:uiPriority w:val="9"/>
    <w:pPr>
      <w:spacing w:before="240" w:after="60"/>
      <w:outlineLvl w:val="8"/>
    </w:pPr>
    <w:rPr>
      <w:rFonts w:ascii="Cambria" w:hAnsi="Cambria"/>
      <w:sz w:val="20"/>
      <w:szCs w:val="20"/>
    </w:rPr>
  </w:style>
  <w:style w:type="character" w:default="1" w:styleId="49">
    <w:name w:val="Default Paragraph Font"/>
    <w:semiHidden/>
    <w:unhideWhenUsed/>
    <w:qFormat/>
    <w:uiPriority w:val="1"/>
  </w:style>
  <w:style w:type="table" w:default="1" w:styleId="4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Normal Indent"/>
    <w:basedOn w:val="1"/>
    <w:link w:val="238"/>
    <w:qFormat/>
    <w:uiPriority w:val="0"/>
    <w:pPr>
      <w:ind w:firstLine="420"/>
    </w:pPr>
    <w:rPr>
      <w:kern w:val="2"/>
      <w:sz w:val="21"/>
      <w:szCs w:val="20"/>
    </w:rPr>
  </w:style>
  <w:style w:type="paragraph" w:styleId="13">
    <w:name w:val="List Bullet"/>
    <w:basedOn w:val="1"/>
    <w:qFormat/>
    <w:uiPriority w:val="0"/>
  </w:style>
  <w:style w:type="paragraph" w:styleId="14">
    <w:name w:val="Document Map"/>
    <w:basedOn w:val="1"/>
    <w:link w:val="239"/>
    <w:qFormat/>
    <w:uiPriority w:val="0"/>
    <w:rPr>
      <w:rFonts w:ascii="宋体"/>
      <w:kern w:val="2"/>
      <w:sz w:val="18"/>
      <w:szCs w:val="18"/>
    </w:rPr>
  </w:style>
  <w:style w:type="paragraph" w:styleId="15">
    <w:name w:val="annotation text"/>
    <w:basedOn w:val="1"/>
    <w:link w:val="240"/>
    <w:qFormat/>
    <w:uiPriority w:val="99"/>
    <w:rPr>
      <w:kern w:val="2"/>
      <w:sz w:val="21"/>
    </w:rPr>
  </w:style>
  <w:style w:type="paragraph" w:styleId="16">
    <w:name w:val="Body Text 3"/>
    <w:basedOn w:val="1"/>
    <w:link w:val="241"/>
    <w:qFormat/>
    <w:uiPriority w:val="0"/>
    <w:pPr>
      <w:spacing w:line="500" w:lineRule="exact"/>
    </w:pPr>
    <w:rPr>
      <w:b/>
      <w:bCs/>
      <w:kern w:val="2"/>
    </w:rPr>
  </w:style>
  <w:style w:type="paragraph" w:styleId="17">
    <w:name w:val="List Bullet 3"/>
    <w:basedOn w:val="1"/>
    <w:qFormat/>
    <w:uiPriority w:val="0"/>
    <w:pPr>
      <w:tabs>
        <w:tab w:val="left" w:pos="1620"/>
      </w:tabs>
      <w:ind w:left="1620" w:hanging="360"/>
    </w:pPr>
  </w:style>
  <w:style w:type="paragraph" w:styleId="18">
    <w:name w:val="Body Text"/>
    <w:basedOn w:val="1"/>
    <w:next w:val="19"/>
    <w:link w:val="242"/>
    <w:qFormat/>
    <w:uiPriority w:val="0"/>
    <w:pPr>
      <w:spacing w:after="120"/>
    </w:pPr>
    <w:rPr>
      <w:kern w:val="2"/>
      <w:sz w:val="21"/>
    </w:rPr>
  </w:style>
  <w:style w:type="paragraph" w:styleId="19">
    <w:name w:val="toc 5"/>
    <w:basedOn w:val="1"/>
    <w:next w:val="1"/>
    <w:qFormat/>
    <w:uiPriority w:val="0"/>
    <w:pPr>
      <w:ind w:left="1680" w:leftChars="800"/>
    </w:pPr>
  </w:style>
  <w:style w:type="paragraph" w:styleId="20">
    <w:name w:val="Body Text Indent"/>
    <w:basedOn w:val="1"/>
    <w:link w:val="244"/>
    <w:qFormat/>
    <w:uiPriority w:val="0"/>
    <w:pPr>
      <w:spacing w:after="120"/>
      <w:ind w:left="420" w:leftChars="200"/>
    </w:pPr>
    <w:rPr>
      <w:kern w:val="2"/>
      <w:sz w:val="21"/>
    </w:rPr>
  </w:style>
  <w:style w:type="paragraph" w:styleId="21">
    <w:name w:val="Block Text"/>
    <w:basedOn w:val="1"/>
    <w:qFormat/>
    <w:uiPriority w:val="0"/>
    <w:pPr>
      <w:spacing w:line="400" w:lineRule="exact"/>
      <w:ind w:left="-359" w:leftChars="-171" w:right="-687" w:rightChars="-327" w:firstLine="720"/>
    </w:pPr>
    <w:rPr>
      <w:rFonts w:ascii="宋体" w:hAnsi="宋体"/>
      <w:sz w:val="28"/>
    </w:rPr>
  </w:style>
  <w:style w:type="paragraph" w:styleId="22">
    <w:name w:val="List Bullet 2"/>
    <w:basedOn w:val="1"/>
    <w:qFormat/>
    <w:uiPriority w:val="0"/>
    <w:pPr>
      <w:tabs>
        <w:tab w:val="left" w:pos="1440"/>
      </w:tabs>
      <w:ind w:left="1440" w:hanging="960"/>
    </w:pPr>
  </w:style>
  <w:style w:type="paragraph" w:styleId="23">
    <w:name w:val="toc 3"/>
    <w:basedOn w:val="1"/>
    <w:next w:val="1"/>
    <w:qFormat/>
    <w:uiPriority w:val="0"/>
    <w:pPr>
      <w:ind w:left="840" w:leftChars="400"/>
    </w:pPr>
  </w:style>
  <w:style w:type="paragraph" w:styleId="24">
    <w:name w:val="Plain Text"/>
    <w:basedOn w:val="1"/>
    <w:link w:val="245"/>
    <w:qFormat/>
    <w:uiPriority w:val="0"/>
    <w:rPr>
      <w:rFonts w:ascii="宋体" w:hAnsi="Courier New"/>
      <w:kern w:val="2"/>
      <w:sz w:val="21"/>
      <w:szCs w:val="20"/>
    </w:rPr>
  </w:style>
  <w:style w:type="paragraph" w:styleId="25">
    <w:name w:val="toc 8"/>
    <w:basedOn w:val="1"/>
    <w:next w:val="1"/>
    <w:qFormat/>
    <w:uiPriority w:val="0"/>
    <w:pPr>
      <w:ind w:left="2940" w:leftChars="1400"/>
    </w:pPr>
  </w:style>
  <w:style w:type="paragraph" w:styleId="26">
    <w:name w:val="Date"/>
    <w:basedOn w:val="1"/>
    <w:next w:val="1"/>
    <w:link w:val="246"/>
    <w:qFormat/>
    <w:uiPriority w:val="0"/>
    <w:pPr>
      <w:ind w:left="100" w:leftChars="2500"/>
    </w:pPr>
    <w:rPr>
      <w:kern w:val="2"/>
      <w:sz w:val="21"/>
    </w:rPr>
  </w:style>
  <w:style w:type="paragraph" w:styleId="27">
    <w:name w:val="Body Text Indent 2"/>
    <w:basedOn w:val="1"/>
    <w:link w:val="247"/>
    <w:qFormat/>
    <w:uiPriority w:val="0"/>
    <w:pPr>
      <w:ind w:left="105" w:firstLine="690"/>
    </w:pPr>
    <w:rPr>
      <w:kern w:val="2"/>
      <w:sz w:val="32"/>
    </w:rPr>
  </w:style>
  <w:style w:type="paragraph" w:styleId="28">
    <w:name w:val="Balloon Text"/>
    <w:basedOn w:val="1"/>
    <w:link w:val="248"/>
    <w:qFormat/>
    <w:uiPriority w:val="99"/>
    <w:rPr>
      <w:kern w:val="2"/>
      <w:sz w:val="18"/>
      <w:szCs w:val="18"/>
    </w:rPr>
  </w:style>
  <w:style w:type="paragraph" w:styleId="29">
    <w:name w:val="footer"/>
    <w:basedOn w:val="1"/>
    <w:link w:val="249"/>
    <w:qFormat/>
    <w:uiPriority w:val="99"/>
    <w:pPr>
      <w:tabs>
        <w:tab w:val="center" w:pos="4153"/>
        <w:tab w:val="right" w:pos="8306"/>
      </w:tabs>
      <w:snapToGrid w:val="0"/>
    </w:pPr>
    <w:rPr>
      <w:kern w:val="2"/>
      <w:sz w:val="18"/>
      <w:szCs w:val="18"/>
    </w:rPr>
  </w:style>
  <w:style w:type="paragraph" w:styleId="30">
    <w:name w:val="header"/>
    <w:basedOn w:val="1"/>
    <w:link w:val="250"/>
    <w:qFormat/>
    <w:uiPriority w:val="99"/>
    <w:pPr>
      <w:pBdr>
        <w:bottom w:val="single" w:color="auto" w:sz="6" w:space="1"/>
      </w:pBdr>
      <w:tabs>
        <w:tab w:val="center" w:pos="4153"/>
        <w:tab w:val="right" w:pos="8306"/>
      </w:tabs>
      <w:snapToGrid w:val="0"/>
      <w:jc w:val="center"/>
    </w:pPr>
    <w:rPr>
      <w:kern w:val="2"/>
      <w:sz w:val="18"/>
      <w:szCs w:val="18"/>
    </w:rPr>
  </w:style>
  <w:style w:type="paragraph" w:styleId="31">
    <w:name w:val="toc 1"/>
    <w:basedOn w:val="1"/>
    <w:next w:val="1"/>
    <w:qFormat/>
    <w:uiPriority w:val="39"/>
    <w:pPr>
      <w:spacing w:line="360" w:lineRule="auto"/>
    </w:pPr>
    <w:rPr>
      <w:b/>
    </w:rPr>
  </w:style>
  <w:style w:type="paragraph" w:styleId="32">
    <w:name w:val="toc 4"/>
    <w:basedOn w:val="1"/>
    <w:next w:val="1"/>
    <w:qFormat/>
    <w:uiPriority w:val="0"/>
    <w:pPr>
      <w:ind w:left="1260" w:leftChars="600"/>
    </w:pPr>
  </w:style>
  <w:style w:type="paragraph" w:styleId="33">
    <w:name w:val="Subtitle"/>
    <w:basedOn w:val="1"/>
    <w:next w:val="1"/>
    <w:link w:val="243"/>
    <w:qFormat/>
    <w:uiPriority w:val="11"/>
    <w:pPr>
      <w:spacing w:after="60"/>
      <w:jc w:val="center"/>
      <w:outlineLvl w:val="1"/>
    </w:pPr>
    <w:rPr>
      <w:rFonts w:ascii="Cambria" w:hAnsi="Cambria"/>
    </w:rPr>
  </w:style>
  <w:style w:type="paragraph" w:styleId="34">
    <w:name w:val="footnote text"/>
    <w:basedOn w:val="1"/>
    <w:next w:val="18"/>
    <w:link w:val="251"/>
    <w:qFormat/>
    <w:uiPriority w:val="0"/>
    <w:pPr>
      <w:snapToGrid w:val="0"/>
    </w:pPr>
    <w:rPr>
      <w:kern w:val="2"/>
      <w:sz w:val="18"/>
      <w:szCs w:val="18"/>
    </w:rPr>
  </w:style>
  <w:style w:type="paragraph" w:styleId="35">
    <w:name w:val="toc 6"/>
    <w:basedOn w:val="1"/>
    <w:next w:val="1"/>
    <w:qFormat/>
    <w:uiPriority w:val="0"/>
    <w:pPr>
      <w:ind w:left="2100" w:leftChars="1000"/>
    </w:pPr>
  </w:style>
  <w:style w:type="paragraph" w:styleId="36">
    <w:name w:val="Body Text Indent 3"/>
    <w:basedOn w:val="1"/>
    <w:link w:val="252"/>
    <w:qFormat/>
    <w:uiPriority w:val="0"/>
    <w:pPr>
      <w:adjustRightInd w:val="0"/>
      <w:spacing w:line="360" w:lineRule="auto"/>
      <w:ind w:left="960"/>
      <w:textAlignment w:val="baseline"/>
    </w:pPr>
    <w:rPr>
      <w:rFonts w:eastAsia="楷体"/>
      <w:szCs w:val="20"/>
    </w:rPr>
  </w:style>
  <w:style w:type="paragraph" w:styleId="37">
    <w:name w:val="toc 2"/>
    <w:basedOn w:val="1"/>
    <w:next w:val="1"/>
    <w:qFormat/>
    <w:uiPriority w:val="0"/>
    <w:pPr>
      <w:ind w:left="420" w:leftChars="200"/>
    </w:pPr>
  </w:style>
  <w:style w:type="paragraph" w:styleId="38">
    <w:name w:val="toc 9"/>
    <w:basedOn w:val="1"/>
    <w:next w:val="1"/>
    <w:qFormat/>
    <w:uiPriority w:val="0"/>
    <w:pPr>
      <w:ind w:left="3360" w:leftChars="1600"/>
    </w:pPr>
  </w:style>
  <w:style w:type="paragraph" w:styleId="39">
    <w:name w:val="Body Text 2"/>
    <w:basedOn w:val="1"/>
    <w:link w:val="253"/>
    <w:qFormat/>
    <w:uiPriority w:val="0"/>
    <w:pPr>
      <w:spacing w:after="120" w:line="480" w:lineRule="auto"/>
    </w:pPr>
    <w:rPr>
      <w:rFonts w:ascii="Calibri" w:hAnsi="Calibri"/>
      <w:kern w:val="2"/>
      <w:sz w:val="21"/>
      <w:szCs w:val="22"/>
    </w:rPr>
  </w:style>
  <w:style w:type="paragraph" w:styleId="40">
    <w:name w:val="HTML Preformatted"/>
    <w:basedOn w:val="1"/>
    <w:link w:val="254"/>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sz w:val="21"/>
    </w:rPr>
  </w:style>
  <w:style w:type="paragraph" w:styleId="41">
    <w:name w:val="Normal (Web)"/>
    <w:basedOn w:val="1"/>
    <w:qFormat/>
    <w:uiPriority w:val="99"/>
    <w:pPr>
      <w:spacing w:before="100" w:beforeAutospacing="1" w:after="100" w:afterAutospacing="1"/>
    </w:pPr>
    <w:rPr>
      <w:rFonts w:ascii="宋体" w:hAnsi="宋体"/>
    </w:rPr>
  </w:style>
  <w:style w:type="paragraph" w:styleId="42">
    <w:name w:val="index 1"/>
    <w:basedOn w:val="1"/>
    <w:next w:val="1"/>
    <w:unhideWhenUsed/>
    <w:qFormat/>
    <w:uiPriority w:val="0"/>
    <w:pPr>
      <w:jc w:val="center"/>
    </w:pPr>
    <w:rPr>
      <w:szCs w:val="20"/>
    </w:rPr>
  </w:style>
  <w:style w:type="paragraph" w:styleId="43">
    <w:name w:val="Title"/>
    <w:basedOn w:val="1"/>
    <w:next w:val="1"/>
    <w:link w:val="255"/>
    <w:qFormat/>
    <w:uiPriority w:val="10"/>
    <w:pPr>
      <w:spacing w:before="240" w:after="60"/>
      <w:jc w:val="center"/>
      <w:outlineLvl w:val="0"/>
    </w:pPr>
    <w:rPr>
      <w:rFonts w:ascii="Cambria" w:hAnsi="Cambria"/>
      <w:b/>
      <w:bCs/>
      <w:kern w:val="28"/>
      <w:sz w:val="32"/>
      <w:szCs w:val="32"/>
    </w:rPr>
  </w:style>
  <w:style w:type="paragraph" w:styleId="44">
    <w:name w:val="annotation subject"/>
    <w:basedOn w:val="15"/>
    <w:next w:val="15"/>
    <w:link w:val="256"/>
    <w:qFormat/>
    <w:uiPriority w:val="99"/>
  </w:style>
  <w:style w:type="paragraph" w:styleId="45">
    <w:name w:val="Body Text First Indent"/>
    <w:basedOn w:val="18"/>
    <w:link w:val="257"/>
    <w:qFormat/>
    <w:uiPriority w:val="0"/>
    <w:pPr>
      <w:spacing w:after="0"/>
      <w:ind w:firstLine="420" w:firstLineChars="100"/>
    </w:pPr>
    <w:rPr>
      <w:rFonts w:ascii="Arial" w:hAnsi="Arial"/>
      <w:color w:val="000000"/>
    </w:rPr>
  </w:style>
  <w:style w:type="paragraph" w:styleId="46">
    <w:name w:val="Body Text First Indent 2"/>
    <w:basedOn w:val="20"/>
    <w:next w:val="1"/>
    <w:qFormat/>
    <w:uiPriority w:val="0"/>
    <w:pPr>
      <w:spacing w:after="120" w:line="360" w:lineRule="auto"/>
      <w:ind w:left="420" w:leftChars="200" w:firstLine="420" w:firstLineChars="200"/>
    </w:pPr>
    <w:rPr>
      <w:rFonts w:ascii="宋体" w:hAnsi="Times New Roman"/>
      <w:kern w:val="0"/>
      <w:sz w:val="21"/>
      <w:szCs w:val="24"/>
    </w:rPr>
  </w:style>
  <w:style w:type="table" w:styleId="48">
    <w:name w:val="Table Grid"/>
    <w:basedOn w:val="47"/>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0">
    <w:name w:val="Strong"/>
    <w:qFormat/>
    <w:uiPriority w:val="22"/>
    <w:rPr>
      <w:b/>
      <w:bCs/>
    </w:rPr>
  </w:style>
  <w:style w:type="character" w:styleId="51">
    <w:name w:val="page number"/>
    <w:basedOn w:val="49"/>
    <w:qFormat/>
    <w:uiPriority w:val="0"/>
  </w:style>
  <w:style w:type="character" w:styleId="52">
    <w:name w:val="FollowedHyperlink"/>
    <w:qFormat/>
    <w:uiPriority w:val="99"/>
    <w:rPr>
      <w:color w:val="3D3D3D"/>
      <w:u w:val="none"/>
    </w:rPr>
  </w:style>
  <w:style w:type="character" w:styleId="53">
    <w:name w:val="Emphasis"/>
    <w:qFormat/>
    <w:uiPriority w:val="20"/>
    <w:rPr>
      <w:rFonts w:ascii="Calibri" w:hAnsi="Calibri"/>
      <w:b/>
      <w:i/>
      <w:iCs/>
    </w:rPr>
  </w:style>
  <w:style w:type="character" w:styleId="54">
    <w:name w:val="HTML Definition"/>
    <w:qFormat/>
    <w:uiPriority w:val="0"/>
  </w:style>
  <w:style w:type="character" w:styleId="55">
    <w:name w:val="HTML Typewriter"/>
    <w:qFormat/>
    <w:uiPriority w:val="0"/>
    <w:rPr>
      <w:rFonts w:ascii="Consolas" w:hAnsi="Consolas"/>
      <w:sz w:val="20"/>
      <w:szCs w:val="20"/>
    </w:rPr>
  </w:style>
  <w:style w:type="character" w:styleId="56">
    <w:name w:val="HTML Variable"/>
    <w:qFormat/>
    <w:uiPriority w:val="0"/>
  </w:style>
  <w:style w:type="character" w:styleId="57">
    <w:name w:val="Hyperlink"/>
    <w:basedOn w:val="49"/>
    <w:qFormat/>
    <w:uiPriority w:val="99"/>
    <w:rPr>
      <w:color w:val="3D3D3D"/>
      <w:u w:val="none"/>
    </w:rPr>
  </w:style>
  <w:style w:type="character" w:styleId="58">
    <w:name w:val="HTML Code"/>
    <w:qFormat/>
    <w:uiPriority w:val="0"/>
    <w:rPr>
      <w:rFonts w:ascii="Courier New" w:hAnsi="Courier New"/>
      <w:sz w:val="20"/>
    </w:rPr>
  </w:style>
  <w:style w:type="character" w:styleId="59">
    <w:name w:val="annotation reference"/>
    <w:qFormat/>
    <w:uiPriority w:val="99"/>
    <w:rPr>
      <w:sz w:val="21"/>
      <w:szCs w:val="21"/>
    </w:rPr>
  </w:style>
  <w:style w:type="character" w:styleId="60">
    <w:name w:val="HTML Cite"/>
    <w:qFormat/>
    <w:uiPriority w:val="0"/>
  </w:style>
  <w:style w:type="character" w:styleId="61">
    <w:name w:val="footnote reference"/>
    <w:qFormat/>
    <w:uiPriority w:val="0"/>
    <w:rPr>
      <w:vertAlign w:val="superscript"/>
    </w:rPr>
  </w:style>
  <w:style w:type="paragraph" w:customStyle="1" w:styleId="62">
    <w:name w:val="(符号)五标题1.1.1"/>
    <w:basedOn w:val="1"/>
    <w:link w:val="284"/>
    <w:qFormat/>
    <w:uiPriority w:val="99"/>
    <w:pPr>
      <w:tabs>
        <w:tab w:val="left" w:pos="1000"/>
      </w:tabs>
      <w:spacing w:line="500" w:lineRule="exact"/>
      <w:ind w:left="1000" w:hanging="1000"/>
    </w:pPr>
    <w:rPr>
      <w:rFonts w:ascii="宋体" w:hAnsi="宋体"/>
      <w:color w:val="000000"/>
      <w:kern w:val="2"/>
      <w:szCs w:val="20"/>
    </w:rPr>
  </w:style>
  <w:style w:type="paragraph" w:styleId="63">
    <w:name w:val="No Spacing"/>
    <w:basedOn w:val="1"/>
    <w:link w:val="321"/>
    <w:qFormat/>
    <w:uiPriority w:val="1"/>
    <w:rPr>
      <w:szCs w:val="32"/>
    </w:rPr>
  </w:style>
  <w:style w:type="paragraph" w:customStyle="1" w:styleId="64">
    <w:name w:val="段"/>
    <w:link w:val="340"/>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styleId="65">
    <w:name w:val="Quote"/>
    <w:basedOn w:val="1"/>
    <w:next w:val="1"/>
    <w:link w:val="386"/>
    <w:qFormat/>
    <w:uiPriority w:val="29"/>
    <w:rPr>
      <w:i/>
    </w:rPr>
  </w:style>
  <w:style w:type="paragraph" w:customStyle="1" w:styleId="66">
    <w:name w:val="（符号）三标题1.1"/>
    <w:basedOn w:val="1"/>
    <w:link w:val="413"/>
    <w:qFormat/>
    <w:uiPriority w:val="0"/>
    <w:pPr>
      <w:tabs>
        <w:tab w:val="left" w:pos="700"/>
        <w:tab w:val="left" w:pos="1365"/>
      </w:tabs>
      <w:spacing w:line="500" w:lineRule="exact"/>
      <w:ind w:left="840" w:hanging="420"/>
    </w:pPr>
    <w:rPr>
      <w:rFonts w:ascii="宋体" w:hAnsi="宋体"/>
      <w:kern w:val="2"/>
    </w:rPr>
  </w:style>
  <w:style w:type="paragraph" w:customStyle="1" w:styleId="67">
    <w:name w:val="_Style 14"/>
    <w:basedOn w:val="1"/>
    <w:link w:val="416"/>
    <w:qFormat/>
    <w:uiPriority w:val="0"/>
    <w:pPr>
      <w:spacing w:beforeLines="50" w:afterLines="50"/>
      <w:ind w:firstLine="420" w:firstLineChars="200"/>
    </w:pPr>
    <w:rPr>
      <w:rFonts w:ascii="Calibri" w:hAnsi="Calibri"/>
      <w:sz w:val="20"/>
      <w:szCs w:val="21"/>
    </w:rPr>
  </w:style>
  <w:style w:type="paragraph" w:styleId="68">
    <w:name w:val="Intense Quote"/>
    <w:basedOn w:val="1"/>
    <w:next w:val="1"/>
    <w:link w:val="423"/>
    <w:qFormat/>
    <w:uiPriority w:val="30"/>
    <w:pPr>
      <w:ind w:left="720" w:right="720"/>
    </w:pPr>
    <w:rPr>
      <w:b/>
      <w:i/>
      <w:szCs w:val="20"/>
    </w:rPr>
  </w:style>
  <w:style w:type="paragraph" w:customStyle="1" w:styleId="69">
    <w:name w:val="_Style 67"/>
    <w:basedOn w:val="1"/>
    <w:next w:val="1"/>
    <w:link w:val="463"/>
    <w:qFormat/>
    <w:uiPriority w:val="0"/>
    <w:pPr>
      <w:pBdr>
        <w:bottom w:val="single" w:color="auto" w:sz="6" w:space="1"/>
      </w:pBdr>
      <w:jc w:val="center"/>
    </w:pPr>
    <w:rPr>
      <w:rFonts w:ascii="Arial" w:hAnsi="Arial"/>
      <w:vanish/>
      <w:sz w:val="16"/>
      <w:szCs w:val="16"/>
    </w:rPr>
  </w:style>
  <w:style w:type="paragraph" w:customStyle="1" w:styleId="70">
    <w:name w:val="标题样式"/>
    <w:basedOn w:val="1"/>
    <w:link w:val="494"/>
    <w:qFormat/>
    <w:uiPriority w:val="0"/>
    <w:pPr>
      <w:jc w:val="center"/>
    </w:pPr>
    <w:rPr>
      <w:rFonts w:ascii="黑体" w:eastAsia="黑体"/>
      <w:b/>
      <w:kern w:val="2"/>
      <w:sz w:val="32"/>
      <w:szCs w:val="20"/>
    </w:rPr>
  </w:style>
  <w:style w:type="paragraph" w:customStyle="1" w:styleId="71">
    <w:name w:val="表格"/>
    <w:basedOn w:val="1"/>
    <w:link w:val="507"/>
    <w:qFormat/>
    <w:uiPriority w:val="0"/>
    <w:pPr>
      <w:spacing w:line="400" w:lineRule="exact"/>
    </w:pPr>
    <w:rPr>
      <w:kern w:val="2"/>
    </w:rPr>
  </w:style>
  <w:style w:type="paragraph" w:customStyle="1" w:styleId="72">
    <w:name w:val="_Style 70"/>
    <w:basedOn w:val="1"/>
    <w:next w:val="1"/>
    <w:link w:val="508"/>
    <w:qFormat/>
    <w:uiPriority w:val="0"/>
    <w:pPr>
      <w:pBdr>
        <w:top w:val="single" w:color="auto" w:sz="6" w:space="1"/>
      </w:pBdr>
      <w:jc w:val="center"/>
    </w:pPr>
    <w:rPr>
      <w:rFonts w:ascii="Arial" w:hAnsi="Arial"/>
      <w:vanish/>
      <w:sz w:val="16"/>
      <w:szCs w:val="16"/>
    </w:rPr>
  </w:style>
  <w:style w:type="paragraph" w:customStyle="1" w:styleId="73">
    <w:name w:val="样式1"/>
    <w:basedOn w:val="1"/>
    <w:link w:val="513"/>
    <w:qFormat/>
    <w:uiPriority w:val="99"/>
    <w:pPr>
      <w:spacing w:before="120" w:after="120" w:line="300" w:lineRule="auto"/>
    </w:pPr>
    <w:rPr>
      <w:rFonts w:ascii="宋体" w:hAnsi="宋体" w:eastAsia="黑体"/>
      <w:b/>
      <w:bCs/>
      <w:kern w:val="2"/>
      <w:szCs w:val="32"/>
    </w:rPr>
  </w:style>
  <w:style w:type="paragraph" w:customStyle="1" w:styleId="74">
    <w:name w:val="Table Paragraph"/>
    <w:basedOn w:val="1"/>
    <w:qFormat/>
    <w:uiPriority w:val="1"/>
    <w:pPr>
      <w:widowControl w:val="0"/>
      <w:jc w:val="both"/>
    </w:pPr>
    <w:rPr>
      <w:rFonts w:ascii="宋体" w:hAnsi="宋体" w:cs="宋体"/>
      <w:kern w:val="2"/>
      <w:sz w:val="21"/>
      <w:szCs w:val="22"/>
      <w:lang w:val="zh-CN" w:bidi="zh-CN"/>
    </w:rPr>
  </w:style>
  <w:style w:type="paragraph" w:customStyle="1" w:styleId="75">
    <w:name w:val="默认"/>
    <w:qFormat/>
    <w:uiPriority w:val="0"/>
    <w:rPr>
      <w:rFonts w:ascii="Helvetica Neue" w:hAnsi="Helvetica Neue" w:eastAsia="Arial Unicode MS" w:cs="Arial Unicode MS"/>
      <w:color w:val="000000"/>
      <w:sz w:val="22"/>
      <w:szCs w:val="22"/>
      <w:u w:color="000000"/>
      <w:lang w:val="en-US" w:eastAsia="zh-CN" w:bidi="ar-SA"/>
    </w:rPr>
  </w:style>
  <w:style w:type="paragraph" w:customStyle="1" w:styleId="76">
    <w:name w:val="纯文本1"/>
    <w:basedOn w:val="1"/>
    <w:qFormat/>
    <w:uiPriority w:val="0"/>
    <w:pPr>
      <w:adjustRightInd w:val="0"/>
      <w:textAlignment w:val="baseline"/>
    </w:pPr>
    <w:rPr>
      <w:rFonts w:ascii="宋体" w:hAnsi="Courier New"/>
      <w:szCs w:val="20"/>
    </w:rPr>
  </w:style>
  <w:style w:type="paragraph" w:customStyle="1" w:styleId="77">
    <w:name w:val="font1"/>
    <w:basedOn w:val="1"/>
    <w:qFormat/>
    <w:uiPriority w:val="0"/>
    <w:pPr>
      <w:spacing w:before="100" w:beforeAutospacing="1" w:after="100" w:afterAutospacing="1"/>
    </w:pPr>
    <w:rPr>
      <w:rFonts w:hint="eastAsia" w:ascii="宋体" w:hAnsi="宋体"/>
    </w:rPr>
  </w:style>
  <w:style w:type="paragraph" w:customStyle="1" w:styleId="78">
    <w:name w:val="Standard o abs"/>
    <w:basedOn w:val="1"/>
    <w:qFormat/>
    <w:uiPriority w:val="0"/>
    <w:pPr>
      <w:tabs>
        <w:tab w:val="left" w:pos="2835"/>
        <w:tab w:val="left" w:pos="3119"/>
        <w:tab w:val="left" w:pos="3402"/>
        <w:tab w:val="left" w:pos="3686"/>
        <w:tab w:val="left" w:pos="3969"/>
        <w:tab w:val="left" w:pos="4253"/>
      </w:tabs>
      <w:ind w:left="2552"/>
    </w:pPr>
    <w:rPr>
      <w:rFonts w:ascii="Syntax" w:hAnsi="Syntax"/>
      <w:sz w:val="20"/>
      <w:szCs w:val="20"/>
      <w:lang w:val="de-DE" w:eastAsia="de-DE"/>
    </w:rPr>
  </w:style>
  <w:style w:type="paragraph" w:customStyle="1" w:styleId="79">
    <w:name w:val="xl5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Arial Unicode MS" w:hAnsi="Arial Unicode MS" w:eastAsia="Arial Unicode MS" w:cs="Arial Unicode MS"/>
      <w:b/>
      <w:bCs/>
      <w:color w:val="000000"/>
      <w:sz w:val="20"/>
      <w:szCs w:val="20"/>
    </w:rPr>
  </w:style>
  <w:style w:type="paragraph" w:customStyle="1" w:styleId="80">
    <w:name w:val="Char1"/>
    <w:basedOn w:val="1"/>
    <w:qFormat/>
    <w:uiPriority w:val="0"/>
    <w:rPr>
      <w:szCs w:val="21"/>
    </w:rPr>
  </w:style>
  <w:style w:type="paragraph" w:customStyle="1" w:styleId="81">
    <w:name w:val="pa-0"/>
    <w:basedOn w:val="1"/>
    <w:qFormat/>
    <w:uiPriority w:val="0"/>
    <w:pPr>
      <w:spacing w:line="400" w:lineRule="atLeast"/>
      <w:jc w:val="center"/>
    </w:pPr>
    <w:rPr>
      <w:rFonts w:hAnsi="宋体"/>
      <w:szCs w:val="20"/>
    </w:rPr>
  </w:style>
  <w:style w:type="paragraph" w:customStyle="1" w:styleId="82">
    <w:name w:val="■立项"/>
    <w:basedOn w:val="1"/>
    <w:qFormat/>
    <w:uiPriority w:val="0"/>
    <w:pPr>
      <w:spacing w:beforeLines="30" w:afterLines="30" w:line="360" w:lineRule="auto"/>
    </w:pPr>
    <w:rPr>
      <w:rFonts w:ascii="仿宋_GB2312" w:hAnsi="宋体" w:eastAsia="仿宋_GB2312"/>
      <w:b/>
      <w:szCs w:val="21"/>
    </w:rPr>
  </w:style>
  <w:style w:type="paragraph" w:customStyle="1" w:styleId="83">
    <w:name w:val="正文 + 宋体"/>
    <w:basedOn w:val="1"/>
    <w:qFormat/>
    <w:uiPriority w:val="0"/>
    <w:pPr>
      <w:ind w:left="360" w:hanging="360"/>
    </w:pPr>
    <w:rPr>
      <w:rFonts w:ascii="宋体" w:hAnsi="宋体" w:cs="宋体"/>
      <w:b/>
      <w:bCs/>
      <w:color w:val="000000"/>
      <w:sz w:val="18"/>
      <w:szCs w:val="18"/>
    </w:rPr>
  </w:style>
  <w:style w:type="paragraph" w:customStyle="1" w:styleId="84">
    <w:name w:val="列出段落3"/>
    <w:basedOn w:val="1"/>
    <w:qFormat/>
    <w:uiPriority w:val="34"/>
    <w:pPr>
      <w:ind w:firstLine="420" w:firstLineChars="200"/>
    </w:pPr>
    <w:rPr>
      <w:rFonts w:ascii="Calibri" w:hAnsi="Calibri"/>
      <w:szCs w:val="22"/>
    </w:rPr>
  </w:style>
  <w:style w:type="paragraph" w:customStyle="1" w:styleId="85">
    <w:name w:val="xl35"/>
    <w:basedOn w:val="1"/>
    <w:qFormat/>
    <w:uiPriority w:val="0"/>
    <w:pPr>
      <w:spacing w:before="100" w:beforeAutospacing="1" w:after="100" w:afterAutospacing="1"/>
    </w:pPr>
    <w:rPr>
      <w:rFonts w:ascii="Arial Unicode MS" w:hAnsi="Arial Unicode MS" w:eastAsia="Arial Unicode MS" w:cs="Arial Unicode MS"/>
      <w:color w:val="000000"/>
      <w:sz w:val="20"/>
      <w:szCs w:val="20"/>
    </w:rPr>
  </w:style>
  <w:style w:type="paragraph" w:customStyle="1" w:styleId="86">
    <w:name w:val="菲页(卷)"/>
    <w:basedOn w:val="2"/>
    <w:next w:val="87"/>
    <w:qFormat/>
    <w:uiPriority w:val="0"/>
    <w:pPr>
      <w:tabs>
        <w:tab w:val="left" w:pos="420"/>
      </w:tabs>
      <w:spacing w:before="0" w:after="0"/>
      <w:ind w:left="430" w:hanging="430"/>
      <w:outlineLvl w:val="1"/>
    </w:pPr>
    <w:rPr>
      <w:rFonts w:ascii="黑体" w:eastAsia="黑体"/>
      <w:b w:val="0"/>
      <w:bCs w:val="0"/>
      <w:kern w:val="0"/>
      <w:sz w:val="52"/>
      <w:szCs w:val="20"/>
    </w:rPr>
  </w:style>
  <w:style w:type="paragraph" w:customStyle="1" w:styleId="87">
    <w:name w:val="正文1"/>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88">
    <w:name w:val="xl62"/>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szCs w:val="21"/>
    </w:rPr>
  </w:style>
  <w:style w:type="paragraph" w:customStyle="1" w:styleId="89">
    <w:name w:val="Char2 Char Char Char"/>
    <w:basedOn w:val="1"/>
    <w:qFormat/>
    <w:uiPriority w:val="0"/>
    <w:rPr>
      <w:rFonts w:ascii="仿宋_GB2312" w:eastAsia="仿宋_GB2312"/>
      <w:b/>
      <w:sz w:val="32"/>
      <w:szCs w:val="32"/>
    </w:rPr>
  </w:style>
  <w:style w:type="paragraph" w:customStyle="1" w:styleId="90">
    <w:name w:val="xl56"/>
    <w:basedOn w:val="1"/>
    <w:qFormat/>
    <w:uiPriority w:val="0"/>
    <w:pPr>
      <w:pBdr>
        <w:left w:val="single" w:color="auto" w:sz="4" w:space="0"/>
        <w:bottom w:val="single" w:color="auto" w:sz="8" w:space="0"/>
        <w:right w:val="single" w:color="auto" w:sz="4" w:space="0"/>
      </w:pBdr>
      <w:spacing w:before="100" w:beforeAutospacing="1" w:after="100" w:afterAutospacing="1"/>
      <w:jc w:val="right"/>
      <w:textAlignment w:val="center"/>
    </w:pPr>
    <w:rPr>
      <w:szCs w:val="21"/>
    </w:rPr>
  </w:style>
  <w:style w:type="paragraph" w:customStyle="1" w:styleId="91">
    <w:name w:val="默认段落字体 Para Char"/>
    <w:basedOn w:val="1"/>
    <w:qFormat/>
    <w:uiPriority w:val="0"/>
    <w:rPr>
      <w:sz w:val="28"/>
      <w:szCs w:val="20"/>
    </w:rPr>
  </w:style>
  <w:style w:type="paragraph" w:customStyle="1" w:styleId="92">
    <w:name w:val="xl63"/>
    <w:basedOn w:val="1"/>
    <w:qFormat/>
    <w:uiPriority w:val="0"/>
    <w:pPr>
      <w:pBdr>
        <w:top w:val="single" w:color="auto" w:sz="8" w:space="0"/>
        <w:left w:val="single" w:color="auto" w:sz="4" w:space="0"/>
        <w:bottom w:val="single" w:color="000000" w:sz="4" w:space="0"/>
        <w:right w:val="single" w:color="auto" w:sz="4" w:space="0"/>
      </w:pBdr>
      <w:spacing w:before="100" w:beforeAutospacing="1" w:after="100" w:afterAutospacing="1"/>
      <w:jc w:val="right"/>
      <w:textAlignment w:val="center"/>
    </w:pPr>
    <w:rPr>
      <w:szCs w:val="21"/>
    </w:rPr>
  </w:style>
  <w:style w:type="paragraph" w:customStyle="1" w:styleId="93">
    <w:name w:val="xl59"/>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textAlignment w:val="center"/>
    </w:pPr>
    <w:rPr>
      <w:rFonts w:ascii="宋体" w:hAnsi="宋体"/>
      <w:szCs w:val="21"/>
    </w:rPr>
  </w:style>
  <w:style w:type="paragraph" w:customStyle="1" w:styleId="94">
    <w:name w:val="pa-2"/>
    <w:basedOn w:val="1"/>
    <w:qFormat/>
    <w:uiPriority w:val="0"/>
    <w:pPr>
      <w:spacing w:before="136" w:after="136"/>
    </w:pPr>
    <w:rPr>
      <w:rFonts w:ascii="宋体" w:hAnsi="宋体" w:cs="宋体"/>
    </w:rPr>
  </w:style>
  <w:style w:type="paragraph" w:customStyle="1" w:styleId="95">
    <w:name w:val="Char Char Char Char Char Char Char"/>
    <w:basedOn w:val="1"/>
    <w:qFormat/>
    <w:uiPriority w:val="0"/>
    <w:pPr>
      <w:tabs>
        <w:tab w:val="left" w:pos="432"/>
      </w:tabs>
      <w:ind w:left="432" w:hanging="432"/>
    </w:pPr>
    <w:rPr>
      <w:rFonts w:ascii="Tahoma" w:hAnsi="Tahoma"/>
      <w:szCs w:val="20"/>
    </w:rPr>
  </w:style>
  <w:style w:type="paragraph" w:customStyle="1" w:styleId="96">
    <w:name w:val="style6"/>
    <w:basedOn w:val="1"/>
    <w:qFormat/>
    <w:uiPriority w:val="0"/>
    <w:pPr>
      <w:spacing w:before="100" w:beforeAutospacing="1" w:after="100" w:afterAutospacing="1"/>
    </w:pPr>
    <w:rPr>
      <w:rFonts w:ascii="宋体" w:hAnsi="宋体" w:cs="宋体"/>
      <w:color w:val="CC3300"/>
    </w:rPr>
  </w:style>
  <w:style w:type="paragraph" w:customStyle="1" w:styleId="97">
    <w:name w:val="xl54"/>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textAlignment w:val="center"/>
    </w:pPr>
    <w:rPr>
      <w:szCs w:val="21"/>
    </w:rPr>
  </w:style>
  <w:style w:type="paragraph" w:customStyle="1" w:styleId="98">
    <w:name w:val="正文 A"/>
    <w:qFormat/>
    <w:uiPriority w:val="0"/>
    <w:pPr>
      <w:widowControl w:val="0"/>
      <w:jc w:val="both"/>
    </w:pPr>
    <w:rPr>
      <w:rFonts w:hint="eastAsia" w:ascii="Arial Unicode MS" w:hAnsi="Arial Unicode MS" w:eastAsia="Arial Unicode MS" w:cs="Arial Unicode MS"/>
      <w:color w:val="000000"/>
      <w:kern w:val="2"/>
      <w:sz w:val="21"/>
      <w:szCs w:val="21"/>
      <w:u w:color="000000"/>
      <w:lang w:val="en-US" w:eastAsia="zh-CN" w:bidi="ar-SA"/>
    </w:rPr>
  </w:style>
  <w:style w:type="paragraph" w:customStyle="1" w:styleId="99">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00">
    <w:name w:val="xl6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FFFFFF"/>
      <w:szCs w:val="21"/>
    </w:rPr>
  </w:style>
  <w:style w:type="paragraph" w:customStyle="1" w:styleId="101">
    <w:name w:val="标题4"/>
    <w:basedOn w:val="5"/>
    <w:qFormat/>
    <w:uiPriority w:val="0"/>
    <w:pPr>
      <w:spacing w:before="140" w:after="0"/>
    </w:pPr>
    <w:rPr>
      <w:rFonts w:ascii="黑体" w:hAnsi="宋体"/>
      <w:bCs w:val="0"/>
      <w:sz w:val="32"/>
      <w:szCs w:val="20"/>
    </w:rPr>
  </w:style>
  <w:style w:type="paragraph" w:customStyle="1" w:styleId="102">
    <w:name w:val="xl2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b/>
      <w:bCs/>
      <w:color w:val="000000"/>
      <w:sz w:val="20"/>
      <w:szCs w:val="20"/>
    </w:rPr>
  </w:style>
  <w:style w:type="paragraph" w:customStyle="1" w:styleId="103">
    <w:name w:val="列出段落4"/>
    <w:basedOn w:val="1"/>
    <w:qFormat/>
    <w:uiPriority w:val="0"/>
    <w:pPr>
      <w:ind w:firstLine="420" w:firstLineChars="200"/>
    </w:pPr>
  </w:style>
  <w:style w:type="paragraph" w:customStyle="1" w:styleId="104">
    <w:name w:val="xl4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color w:val="000000"/>
      <w:sz w:val="22"/>
      <w:szCs w:val="22"/>
    </w:rPr>
  </w:style>
  <w:style w:type="paragraph" w:customStyle="1" w:styleId="105">
    <w:name w:val="_Style 2"/>
    <w:basedOn w:val="1"/>
    <w:qFormat/>
    <w:uiPriority w:val="0"/>
    <w:pPr>
      <w:ind w:firstLine="420" w:firstLineChars="200"/>
    </w:pPr>
    <w:rPr>
      <w:rFonts w:ascii="Calibri" w:hAnsi="Calibri"/>
      <w:szCs w:val="22"/>
    </w:rPr>
  </w:style>
  <w:style w:type="paragraph" w:customStyle="1" w:styleId="106">
    <w:name w:val="font10"/>
    <w:basedOn w:val="1"/>
    <w:qFormat/>
    <w:uiPriority w:val="0"/>
    <w:pPr>
      <w:spacing w:before="100" w:beforeAutospacing="1" w:after="100" w:afterAutospacing="1"/>
    </w:pPr>
    <w:rPr>
      <w:rFonts w:hint="eastAsia" w:ascii="宋体" w:hAnsi="宋体"/>
      <w:sz w:val="20"/>
      <w:szCs w:val="20"/>
    </w:rPr>
  </w:style>
  <w:style w:type="paragraph" w:customStyle="1" w:styleId="107">
    <w:name w:val="默认段落字体 Para Char Char Char Char Char Char Char Char Char1 Char Char Char Char"/>
    <w:basedOn w:val="1"/>
    <w:qFormat/>
    <w:uiPriority w:val="0"/>
    <w:rPr>
      <w:rFonts w:ascii="Tahoma" w:hAnsi="Tahoma"/>
      <w:szCs w:val="20"/>
    </w:rPr>
  </w:style>
  <w:style w:type="paragraph" w:customStyle="1" w:styleId="108">
    <w:name w:val="Char Char1 Char Char Char Char Char Char Char Char Char Char"/>
    <w:basedOn w:val="1"/>
    <w:qFormat/>
    <w:uiPriority w:val="0"/>
    <w:pPr>
      <w:tabs>
        <w:tab w:val="left" w:pos="360"/>
      </w:tabs>
      <w:ind w:firstLine="420" w:firstLineChars="150"/>
    </w:pPr>
    <w:rPr>
      <w:rFonts w:ascii="Arial" w:hAnsi="Arial" w:cs="Arial"/>
      <w:sz w:val="20"/>
      <w:szCs w:val="20"/>
    </w:rPr>
  </w:style>
  <w:style w:type="paragraph" w:customStyle="1" w:styleId="109">
    <w:name w:val="正文首行缩进两字符"/>
    <w:basedOn w:val="1"/>
    <w:qFormat/>
    <w:uiPriority w:val="0"/>
    <w:pPr>
      <w:spacing w:line="360" w:lineRule="auto"/>
      <w:ind w:firstLine="200" w:firstLineChars="200"/>
    </w:pPr>
  </w:style>
  <w:style w:type="paragraph" w:customStyle="1" w:styleId="110">
    <w:name w:val="xl5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sz w:val="16"/>
      <w:szCs w:val="16"/>
    </w:rPr>
  </w:style>
  <w:style w:type="paragraph" w:customStyle="1" w:styleId="111">
    <w:name w:val="xl65"/>
    <w:basedOn w:val="1"/>
    <w:qFormat/>
    <w:uiPriority w:val="0"/>
    <w:pPr>
      <w:pBdr>
        <w:bottom w:val="single" w:color="000000" w:sz="4" w:space="0"/>
        <w:right w:val="single" w:color="auto" w:sz="8" w:space="0"/>
      </w:pBdr>
      <w:spacing w:before="100" w:beforeAutospacing="1" w:after="100" w:afterAutospacing="1"/>
      <w:textAlignment w:val="center"/>
    </w:pPr>
    <w:rPr>
      <w:color w:val="FFFFFF"/>
      <w:szCs w:val="21"/>
    </w:rPr>
  </w:style>
  <w:style w:type="paragraph" w:customStyle="1" w:styleId="112">
    <w:name w:val="三级条标题"/>
    <w:basedOn w:val="113"/>
    <w:next w:val="64"/>
    <w:qFormat/>
    <w:uiPriority w:val="0"/>
    <w:pPr>
      <w:tabs>
        <w:tab w:val="left" w:pos="1680"/>
        <w:tab w:val="left" w:pos="2100"/>
      </w:tabs>
      <w:ind w:left="2100" w:hanging="420"/>
      <w:outlineLvl w:val="4"/>
    </w:pPr>
  </w:style>
  <w:style w:type="paragraph" w:customStyle="1" w:styleId="113">
    <w:name w:val="二级条标题"/>
    <w:basedOn w:val="114"/>
    <w:next w:val="64"/>
    <w:qFormat/>
    <w:uiPriority w:val="0"/>
    <w:pPr>
      <w:tabs>
        <w:tab w:val="left" w:pos="1680"/>
      </w:tabs>
      <w:ind w:left="1984" w:hanging="1984"/>
      <w:outlineLvl w:val="3"/>
    </w:pPr>
  </w:style>
  <w:style w:type="paragraph" w:customStyle="1" w:styleId="114">
    <w:name w:val="一级条标题"/>
    <w:next w:val="64"/>
    <w:qFormat/>
    <w:uiPriority w:val="0"/>
    <w:pPr>
      <w:outlineLvl w:val="2"/>
    </w:pPr>
    <w:rPr>
      <w:rFonts w:ascii="Times New Roman" w:hAnsi="Times New Roman" w:eastAsia="黑体" w:cs="Times New Roman"/>
      <w:sz w:val="21"/>
      <w:lang w:val="en-US" w:eastAsia="zh-CN" w:bidi="ar-SA"/>
    </w:rPr>
  </w:style>
  <w:style w:type="paragraph" w:customStyle="1" w:styleId="115">
    <w:name w:val="reader-word-layer"/>
    <w:basedOn w:val="1"/>
    <w:qFormat/>
    <w:uiPriority w:val="0"/>
    <w:pPr>
      <w:spacing w:before="100" w:beforeAutospacing="1" w:after="100" w:afterAutospacing="1" w:line="540" w:lineRule="exact"/>
      <w:ind w:firstLine="193" w:firstLineChars="193"/>
    </w:pPr>
    <w:rPr>
      <w:rFonts w:ascii="宋体" w:hAnsi="宋体" w:cs="宋体"/>
    </w:rPr>
  </w:style>
  <w:style w:type="paragraph" w:customStyle="1" w:styleId="116">
    <w:name w:val="xl47"/>
    <w:basedOn w:val="1"/>
    <w:qFormat/>
    <w:uiPriority w:val="0"/>
    <w:pPr>
      <w:pBdr>
        <w:top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b/>
      <w:bCs/>
      <w:color w:val="000000"/>
      <w:sz w:val="20"/>
      <w:szCs w:val="20"/>
    </w:rPr>
  </w:style>
  <w:style w:type="paragraph" w:customStyle="1" w:styleId="117">
    <w:name w:val="Char Char Char Char Char Char Char1"/>
    <w:basedOn w:val="14"/>
    <w:qFormat/>
    <w:uiPriority w:val="0"/>
    <w:pPr>
      <w:shd w:val="clear" w:color="auto" w:fill="000080"/>
    </w:pPr>
    <w:rPr>
      <w:rFonts w:ascii="Tahoma" w:hAnsi="Tahoma"/>
      <w:sz w:val="24"/>
      <w:szCs w:val="24"/>
    </w:rPr>
  </w:style>
  <w:style w:type="paragraph" w:customStyle="1" w:styleId="118">
    <w:name w:val="（符号）二标题总则"/>
    <w:basedOn w:val="1"/>
    <w:qFormat/>
    <w:uiPriority w:val="0"/>
    <w:pPr>
      <w:spacing w:beforeLines="100" w:afterLines="100" w:line="500" w:lineRule="exact"/>
      <w:jc w:val="center"/>
      <w:outlineLvl w:val="1"/>
    </w:pPr>
    <w:rPr>
      <w:rFonts w:ascii="宋体" w:hAnsi="宋体" w:cs="宋体"/>
      <w:b/>
      <w:bCs/>
      <w:sz w:val="32"/>
      <w:szCs w:val="32"/>
    </w:rPr>
  </w:style>
  <w:style w:type="paragraph" w:customStyle="1" w:styleId="119">
    <w:name w:val="font5"/>
    <w:basedOn w:val="1"/>
    <w:qFormat/>
    <w:uiPriority w:val="0"/>
    <w:pPr>
      <w:spacing w:before="100" w:beforeAutospacing="1" w:after="100" w:afterAutospacing="1"/>
    </w:pPr>
    <w:rPr>
      <w:rFonts w:ascii="宋体" w:hAnsi="宋体" w:cs="宋体"/>
      <w:sz w:val="18"/>
      <w:szCs w:val="18"/>
    </w:rPr>
  </w:style>
  <w:style w:type="paragraph" w:customStyle="1" w:styleId="120">
    <w:name w:val="Char2 Char Char Char1"/>
    <w:basedOn w:val="1"/>
    <w:qFormat/>
    <w:uiPriority w:val="0"/>
    <w:rPr>
      <w:rFonts w:ascii="仿宋_GB2312" w:eastAsia="仿宋_GB2312"/>
      <w:b/>
      <w:sz w:val="32"/>
      <w:szCs w:val="32"/>
    </w:rPr>
  </w:style>
  <w:style w:type="paragraph" w:customStyle="1" w:styleId="121">
    <w:name w:val="标题0"/>
    <w:basedOn w:val="2"/>
    <w:qFormat/>
    <w:uiPriority w:val="0"/>
    <w:pPr>
      <w:tabs>
        <w:tab w:val="left" w:pos="0"/>
        <w:tab w:val="left" w:pos="432"/>
      </w:tabs>
      <w:ind w:left="420" w:hanging="420"/>
    </w:pPr>
  </w:style>
  <w:style w:type="paragraph" w:customStyle="1" w:styleId="122">
    <w:name w:val="Char Char1 Char Char Char Char Char Char Char Char Char Char1"/>
    <w:basedOn w:val="1"/>
    <w:qFormat/>
    <w:uiPriority w:val="0"/>
    <w:pPr>
      <w:tabs>
        <w:tab w:val="left" w:pos="360"/>
      </w:tabs>
      <w:ind w:firstLine="420" w:firstLineChars="150"/>
    </w:pPr>
    <w:rPr>
      <w:rFonts w:ascii="Arial" w:hAnsi="Arial" w:cs="Arial"/>
      <w:sz w:val="20"/>
      <w:szCs w:val="20"/>
    </w:rPr>
  </w:style>
  <w:style w:type="paragraph" w:customStyle="1" w:styleId="123">
    <w:name w:val="p0"/>
    <w:basedOn w:val="1"/>
    <w:qFormat/>
    <w:uiPriority w:val="0"/>
    <w:rPr>
      <w:szCs w:val="21"/>
    </w:rPr>
  </w:style>
  <w:style w:type="paragraph" w:customStyle="1" w:styleId="124">
    <w:name w:val="表"/>
    <w:basedOn w:val="1"/>
    <w:qFormat/>
    <w:uiPriority w:val="0"/>
    <w:pPr>
      <w:spacing w:before="60" w:after="60" w:line="360" w:lineRule="auto"/>
    </w:pPr>
    <w:rPr>
      <w:sz w:val="20"/>
      <w:szCs w:val="72"/>
    </w:rPr>
  </w:style>
  <w:style w:type="paragraph" w:customStyle="1" w:styleId="125">
    <w:name w:val="样式 标题 2 + Times New Roman 四号 非加粗 段前: 5 磅 段后: 0 磅 行距: 固定值 20..."/>
    <w:basedOn w:val="3"/>
    <w:qFormat/>
    <w:uiPriority w:val="0"/>
    <w:pPr>
      <w:spacing w:before="100" w:after="0" w:line="400" w:lineRule="exact"/>
    </w:pPr>
    <w:rPr>
      <w:rFonts w:ascii="Times New Roman" w:hAnsi="Times New Roman" w:cs="宋体"/>
      <w:b w:val="0"/>
      <w:bCs w:val="0"/>
      <w:szCs w:val="24"/>
    </w:rPr>
  </w:style>
  <w:style w:type="paragraph" w:customStyle="1" w:styleId="126">
    <w:name w:val="样式 标题 3 + (中文) 黑体 小四 非加粗 段前: 7.8 磅 段后: 0 磅 行距: 固定值 20 磅"/>
    <w:basedOn w:val="4"/>
    <w:next w:val="1"/>
    <w:qFormat/>
    <w:uiPriority w:val="0"/>
    <w:pPr>
      <w:tabs>
        <w:tab w:val="left" w:pos="720"/>
      </w:tabs>
      <w:spacing w:before="0" w:after="0" w:line="400" w:lineRule="exact"/>
    </w:pPr>
    <w:rPr>
      <w:rFonts w:eastAsia="黑体" w:cs="宋体"/>
      <w:b w:val="0"/>
      <w:bCs w:val="0"/>
      <w:sz w:val="24"/>
      <w:szCs w:val="24"/>
    </w:rPr>
  </w:style>
  <w:style w:type="paragraph" w:customStyle="1" w:styleId="127">
    <w:name w:val="Char Char Char Char Char Char1 Char"/>
    <w:basedOn w:val="14"/>
    <w:qFormat/>
    <w:uiPriority w:val="0"/>
    <w:pPr>
      <w:shd w:val="clear" w:color="auto" w:fill="000080"/>
    </w:pPr>
    <w:rPr>
      <w:rFonts w:ascii="Tahoma" w:hAnsi="Tahoma"/>
      <w:sz w:val="24"/>
      <w:szCs w:val="24"/>
    </w:rPr>
  </w:style>
  <w:style w:type="paragraph" w:styleId="128">
    <w:name w:val="List Paragraph"/>
    <w:basedOn w:val="1"/>
    <w:qFormat/>
    <w:uiPriority w:val="99"/>
    <w:pPr>
      <w:ind w:left="720"/>
      <w:contextualSpacing/>
    </w:pPr>
  </w:style>
  <w:style w:type="paragraph" w:customStyle="1" w:styleId="129">
    <w:name w:val="plaintext"/>
    <w:basedOn w:val="1"/>
    <w:qFormat/>
    <w:uiPriority w:val="0"/>
    <w:pPr>
      <w:spacing w:before="100" w:beforeAutospacing="1" w:after="100" w:afterAutospacing="1"/>
    </w:pPr>
    <w:rPr>
      <w:rFonts w:ascii="宋体" w:hAnsi="宋体"/>
    </w:rPr>
  </w:style>
  <w:style w:type="paragraph" w:customStyle="1" w:styleId="130">
    <w:name w:val="xl37"/>
    <w:basedOn w:val="1"/>
    <w:qFormat/>
    <w:uiPriority w:val="0"/>
    <w:pPr>
      <w:spacing w:before="100" w:beforeAutospacing="1" w:after="100" w:afterAutospacing="1"/>
    </w:pPr>
    <w:rPr>
      <w:rFonts w:ascii="Arial Unicode MS" w:hAnsi="Arial Unicode MS" w:eastAsia="Arial Unicode MS" w:cs="Arial Unicode MS"/>
      <w:color w:val="000000"/>
      <w:sz w:val="20"/>
      <w:szCs w:val="20"/>
    </w:rPr>
  </w:style>
  <w:style w:type="paragraph" w:customStyle="1" w:styleId="131">
    <w:name w:val="xl45"/>
    <w:basedOn w:val="1"/>
    <w:qFormat/>
    <w:uiPriority w:val="0"/>
    <w:pPr>
      <w:pBdr>
        <w:top w:val="single" w:color="auto" w:sz="4" w:space="0"/>
        <w:left w:val="single" w:color="auto" w:sz="4" w:space="0"/>
        <w:bottom w:val="single" w:color="auto" w:sz="4" w:space="0"/>
      </w:pBdr>
      <w:spacing w:before="100" w:beforeAutospacing="1" w:after="100" w:afterAutospacing="1"/>
    </w:pPr>
    <w:rPr>
      <w:rFonts w:ascii="Arial Unicode MS" w:hAnsi="Arial Unicode MS" w:eastAsia="Arial Unicode MS" w:cs="Arial Unicode MS"/>
      <w:b/>
      <w:bCs/>
      <w:color w:val="000000"/>
      <w:sz w:val="20"/>
      <w:szCs w:val="20"/>
    </w:rPr>
  </w:style>
  <w:style w:type="paragraph" w:customStyle="1" w:styleId="132">
    <w:name w:val="tgt"/>
    <w:basedOn w:val="1"/>
    <w:qFormat/>
    <w:uiPriority w:val="0"/>
    <w:pPr>
      <w:spacing w:before="100" w:beforeAutospacing="1" w:after="100" w:afterAutospacing="1"/>
    </w:pPr>
    <w:rPr>
      <w:rFonts w:ascii="宋体" w:hAnsi="宋体" w:cs="宋体"/>
    </w:rPr>
  </w:style>
  <w:style w:type="paragraph" w:customStyle="1" w:styleId="133">
    <w:name w:val="Char"/>
    <w:basedOn w:val="1"/>
    <w:qFormat/>
    <w:uiPriority w:val="0"/>
    <w:pPr>
      <w:tabs>
        <w:tab w:val="left" w:pos="360"/>
      </w:tabs>
      <w:spacing w:line="360" w:lineRule="auto"/>
      <w:ind w:left="482" w:firstLine="200" w:firstLineChars="200"/>
    </w:pPr>
    <w:rPr>
      <w:rFonts w:ascii="宋体"/>
    </w:rPr>
  </w:style>
  <w:style w:type="paragraph" w:customStyle="1" w:styleId="134">
    <w:name w:val="xl67"/>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textAlignment w:val="top"/>
    </w:pPr>
    <w:rPr>
      <w:color w:val="FFFFFF"/>
      <w:szCs w:val="21"/>
    </w:rPr>
  </w:style>
  <w:style w:type="paragraph" w:customStyle="1" w:styleId="135">
    <w:name w:val="font6"/>
    <w:basedOn w:val="1"/>
    <w:qFormat/>
    <w:uiPriority w:val="0"/>
    <w:pPr>
      <w:spacing w:before="100" w:beforeAutospacing="1" w:after="100" w:afterAutospacing="1"/>
    </w:pPr>
    <w:rPr>
      <w:rFonts w:ascii="宋体" w:hAnsi="宋体" w:cs="宋体"/>
      <w:sz w:val="20"/>
      <w:szCs w:val="20"/>
    </w:rPr>
  </w:style>
  <w:style w:type="paragraph" w:customStyle="1" w:styleId="136">
    <w:name w:val="LJT正文"/>
    <w:basedOn w:val="20"/>
    <w:qFormat/>
    <w:uiPriority w:val="0"/>
    <w:pPr>
      <w:spacing w:before="120" w:after="0"/>
      <w:ind w:left="0" w:leftChars="0" w:firstLine="425"/>
    </w:pPr>
    <w:rPr>
      <w:rFonts w:ascii="Arial" w:hAnsi="Arial"/>
      <w:sz w:val="24"/>
      <w:szCs w:val="20"/>
    </w:rPr>
  </w:style>
  <w:style w:type="paragraph" w:customStyle="1" w:styleId="137">
    <w:name w:val="Char Char Char Char"/>
    <w:basedOn w:val="1"/>
    <w:qFormat/>
    <w:uiPriority w:val="0"/>
    <w:pPr>
      <w:spacing w:before="100" w:beforeAutospacing="1" w:after="100" w:afterAutospacing="1" w:line="360" w:lineRule="auto"/>
    </w:pPr>
    <w:rPr>
      <w:rFonts w:ascii="Verdana" w:hAnsi="Verdana"/>
      <w:sz w:val="20"/>
      <w:szCs w:val="21"/>
      <w:lang w:eastAsia="en-US"/>
    </w:rPr>
  </w:style>
  <w:style w:type="paragraph" w:customStyle="1" w:styleId="138">
    <w:name w:val="xl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sz w:val="22"/>
      <w:szCs w:val="22"/>
    </w:rPr>
  </w:style>
  <w:style w:type="paragraph" w:customStyle="1" w:styleId="139">
    <w:name w:val="附件正文"/>
    <w:basedOn w:val="1"/>
    <w:qFormat/>
    <w:uiPriority w:val="0"/>
    <w:pPr>
      <w:snapToGrid w:val="0"/>
      <w:spacing w:line="500" w:lineRule="exact"/>
      <w:ind w:firstLine="480" w:firstLineChars="200"/>
    </w:pPr>
  </w:style>
  <w:style w:type="paragraph" w:customStyle="1" w:styleId="140">
    <w:name w:val="font8"/>
    <w:basedOn w:val="1"/>
    <w:qFormat/>
    <w:uiPriority w:val="0"/>
    <w:pPr>
      <w:spacing w:before="100" w:beforeAutospacing="1" w:after="100" w:afterAutospacing="1"/>
    </w:pPr>
    <w:rPr>
      <w:sz w:val="36"/>
      <w:szCs w:val="36"/>
    </w:rPr>
  </w:style>
  <w:style w:type="paragraph" w:customStyle="1" w:styleId="141">
    <w:name w:val="样式 首行缩进:  2 字符"/>
    <w:basedOn w:val="1"/>
    <w:qFormat/>
    <w:uiPriority w:val="0"/>
    <w:pPr>
      <w:spacing w:line="400" w:lineRule="exact"/>
      <w:ind w:firstLine="200" w:firstLineChars="200"/>
    </w:pPr>
    <w:rPr>
      <w:rFonts w:cs="宋体"/>
    </w:rPr>
  </w:style>
  <w:style w:type="paragraph" w:customStyle="1" w:styleId="142">
    <w:name w:val="xl4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b/>
      <w:bCs/>
      <w:color w:val="000000"/>
      <w:sz w:val="20"/>
      <w:szCs w:val="20"/>
    </w:rPr>
  </w:style>
  <w:style w:type="paragraph" w:customStyle="1" w:styleId="143">
    <w:name w:val="正文文本缩进[858D7CFB-ED40-4347-BF05-701D383B685F][858D7CFB-ED40-4347-BF05-701D383B685F]"/>
    <w:basedOn w:val="1"/>
    <w:qFormat/>
    <w:uiPriority w:val="0"/>
    <w:pPr>
      <w:spacing w:line="312" w:lineRule="atLeast"/>
      <w:ind w:firstLine="630"/>
      <w:textAlignment w:val="baseline"/>
    </w:pPr>
    <w:rPr>
      <w:sz w:val="32"/>
      <w:szCs w:val="20"/>
    </w:rPr>
  </w:style>
  <w:style w:type="paragraph" w:customStyle="1" w:styleId="144">
    <w:name w:val="xl6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color w:val="FFFFFF"/>
      <w:szCs w:val="21"/>
    </w:rPr>
  </w:style>
  <w:style w:type="paragraph" w:customStyle="1" w:styleId="145">
    <w:name w:val="Char Char"/>
    <w:basedOn w:val="1"/>
    <w:qFormat/>
    <w:uiPriority w:val="0"/>
  </w:style>
  <w:style w:type="paragraph" w:customStyle="1" w:styleId="146">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47">
    <w:name w:val="菲页1"/>
    <w:basedOn w:val="3"/>
    <w:qFormat/>
    <w:uiPriority w:val="0"/>
    <w:rPr>
      <w:rFonts w:ascii="黑体" w:hAnsi="宋体"/>
      <w:b w:val="0"/>
      <w:bCs w:val="0"/>
      <w:sz w:val="52"/>
      <w:szCs w:val="20"/>
    </w:rPr>
  </w:style>
  <w:style w:type="paragraph" w:customStyle="1" w:styleId="148">
    <w:name w:val="xl2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0"/>
      <w:szCs w:val="20"/>
    </w:rPr>
  </w:style>
  <w:style w:type="paragraph" w:customStyle="1" w:styleId="149">
    <w:name w:val="xl66"/>
    <w:basedOn w:val="1"/>
    <w:qFormat/>
    <w:uiPriority w:val="0"/>
    <w:pPr>
      <w:pBdr>
        <w:right w:val="single" w:color="000000" w:sz="4" w:space="0"/>
      </w:pBdr>
      <w:spacing w:before="100" w:beforeAutospacing="1" w:after="100" w:afterAutospacing="1"/>
      <w:jc w:val="right"/>
      <w:textAlignment w:val="center"/>
    </w:pPr>
    <w:rPr>
      <w:color w:val="FFFFFF"/>
      <w:szCs w:val="21"/>
    </w:rPr>
  </w:style>
  <w:style w:type="paragraph" w:customStyle="1" w:styleId="150">
    <w:name w:val="xl3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eastAsia="Arial Unicode MS"/>
      <w:color w:val="000000"/>
      <w:sz w:val="20"/>
      <w:szCs w:val="20"/>
    </w:rPr>
  </w:style>
  <w:style w:type="paragraph" w:customStyle="1" w:styleId="151">
    <w:name w:val="Char Char Char Char1"/>
    <w:basedOn w:val="1"/>
    <w:qFormat/>
    <w:uiPriority w:val="0"/>
    <w:pPr>
      <w:spacing w:before="100" w:beforeAutospacing="1" w:after="100" w:afterAutospacing="1" w:line="360" w:lineRule="auto"/>
    </w:pPr>
    <w:rPr>
      <w:rFonts w:ascii="Verdana" w:hAnsi="Verdana"/>
      <w:sz w:val="20"/>
      <w:szCs w:val="21"/>
      <w:lang w:eastAsia="en-US"/>
    </w:rPr>
  </w:style>
  <w:style w:type="paragraph" w:customStyle="1" w:styleId="152">
    <w:name w:val="Char Char Char"/>
    <w:basedOn w:val="1"/>
    <w:qFormat/>
    <w:uiPriority w:val="0"/>
    <w:pPr>
      <w:spacing w:after="160" w:line="240" w:lineRule="exact"/>
    </w:pPr>
    <w:rPr>
      <w:rFonts w:ascii="Verdana" w:hAnsi="Verdana"/>
      <w:sz w:val="20"/>
      <w:szCs w:val="20"/>
      <w:lang w:eastAsia="en-US"/>
    </w:rPr>
  </w:style>
  <w:style w:type="paragraph" w:customStyle="1" w:styleId="153">
    <w:name w:val="xl58"/>
    <w:basedOn w:val="1"/>
    <w:qFormat/>
    <w:uiPriority w:val="0"/>
    <w:pPr>
      <w:pBdr>
        <w:left w:val="single" w:color="auto" w:sz="8" w:space="0"/>
        <w:bottom w:val="single" w:color="auto" w:sz="8" w:space="0"/>
        <w:right w:val="single" w:color="auto" w:sz="4" w:space="0"/>
      </w:pBdr>
      <w:spacing w:before="100" w:beforeAutospacing="1" w:after="100" w:afterAutospacing="1"/>
      <w:jc w:val="center"/>
      <w:textAlignment w:val="center"/>
    </w:pPr>
    <w:rPr>
      <w:rFonts w:ascii="宋体" w:hAnsi="宋体"/>
      <w:szCs w:val="21"/>
    </w:rPr>
  </w:style>
  <w:style w:type="paragraph" w:customStyle="1" w:styleId="154">
    <w:name w:val="List Paragraph11"/>
    <w:basedOn w:val="1"/>
    <w:qFormat/>
    <w:uiPriority w:val="34"/>
    <w:pPr>
      <w:ind w:firstLine="420" w:firstLineChars="200"/>
    </w:pPr>
  </w:style>
  <w:style w:type="paragraph" w:customStyle="1" w:styleId="155">
    <w:name w:val="xl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sz w:val="20"/>
      <w:szCs w:val="20"/>
    </w:rPr>
  </w:style>
  <w:style w:type="paragraph" w:customStyle="1" w:styleId="156">
    <w:name w:val="正文序号 1"/>
    <w:basedOn w:val="1"/>
    <w:qFormat/>
    <w:uiPriority w:val="0"/>
    <w:pPr>
      <w:spacing w:before="60"/>
    </w:pPr>
    <w:rPr>
      <w:szCs w:val="20"/>
    </w:rPr>
  </w:style>
  <w:style w:type="paragraph" w:customStyle="1" w:styleId="157">
    <w:name w:val="正文缩进1"/>
    <w:basedOn w:val="1"/>
    <w:next w:val="1"/>
    <w:qFormat/>
    <w:uiPriority w:val="0"/>
    <w:pPr>
      <w:ind w:firstLine="420"/>
    </w:pPr>
    <w:rPr>
      <w:color w:val="000000"/>
      <w:szCs w:val="20"/>
    </w:rPr>
  </w:style>
  <w:style w:type="paragraph" w:customStyle="1" w:styleId="158">
    <w:name w:val="Char Char1 Char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59">
    <w:name w:val="p5"/>
    <w:basedOn w:val="1"/>
    <w:qFormat/>
    <w:uiPriority w:val="0"/>
    <w:pPr>
      <w:tabs>
        <w:tab w:val="left" w:pos="720"/>
      </w:tabs>
      <w:spacing w:line="240" w:lineRule="atLeast"/>
    </w:pPr>
    <w:rPr>
      <w:snapToGrid w:val="0"/>
      <w:szCs w:val="20"/>
      <w:lang w:val="en-GB" w:eastAsia="de-DE"/>
    </w:rPr>
  </w:style>
  <w:style w:type="paragraph" w:customStyle="1" w:styleId="160">
    <w:name w:val="xl5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sz w:val="32"/>
      <w:szCs w:val="32"/>
    </w:rPr>
  </w:style>
  <w:style w:type="paragraph" w:customStyle="1" w:styleId="161">
    <w:name w:val="文档正文"/>
    <w:basedOn w:val="1"/>
    <w:qFormat/>
    <w:uiPriority w:val="0"/>
    <w:pPr>
      <w:spacing w:line="440" w:lineRule="atLeast"/>
      <w:ind w:firstLine="567"/>
    </w:pPr>
    <w:rPr>
      <w:spacing w:val="4"/>
    </w:rPr>
  </w:style>
  <w:style w:type="paragraph" w:customStyle="1" w:styleId="162">
    <w:name w:val="10 f"/>
    <w:basedOn w:val="1"/>
    <w:qFormat/>
    <w:uiPriority w:val="0"/>
    <w:pPr>
      <w:tabs>
        <w:tab w:val="left" w:pos="2835"/>
        <w:tab w:val="left" w:pos="3119"/>
        <w:tab w:val="left" w:pos="3402"/>
        <w:tab w:val="left" w:pos="3686"/>
        <w:tab w:val="left" w:pos="3969"/>
        <w:tab w:val="left" w:pos="4253"/>
      </w:tabs>
      <w:spacing w:after="120"/>
      <w:ind w:left="2552"/>
    </w:pPr>
    <w:rPr>
      <w:rFonts w:ascii="Syntax" w:hAnsi="Syntax"/>
      <w:b/>
      <w:sz w:val="20"/>
      <w:szCs w:val="20"/>
      <w:lang w:val="de-DE" w:eastAsia="de-DE"/>
    </w:rPr>
  </w:style>
  <w:style w:type="paragraph" w:customStyle="1" w:styleId="163">
    <w:name w:val="xl64"/>
    <w:basedOn w:val="1"/>
    <w:qFormat/>
    <w:uiPriority w:val="0"/>
    <w:pPr>
      <w:pBdr>
        <w:top w:val="single" w:color="auto" w:sz="8" w:space="0"/>
        <w:left w:val="single" w:color="auto" w:sz="4" w:space="0"/>
        <w:bottom w:val="single" w:color="auto" w:sz="4" w:space="0"/>
        <w:right w:val="single" w:color="auto" w:sz="8" w:space="0"/>
      </w:pBdr>
      <w:spacing w:before="100" w:beforeAutospacing="1" w:after="100" w:afterAutospacing="1"/>
      <w:textAlignment w:val="center"/>
    </w:pPr>
    <w:rPr>
      <w:rFonts w:ascii="宋体" w:hAnsi="宋体"/>
      <w:sz w:val="18"/>
      <w:szCs w:val="18"/>
    </w:rPr>
  </w:style>
  <w:style w:type="paragraph" w:customStyle="1" w:styleId="164">
    <w:name w:val="xl41"/>
    <w:basedOn w:val="1"/>
    <w:qFormat/>
    <w:uiPriority w:val="0"/>
    <w:pPr>
      <w:pBdr>
        <w:top w:val="single" w:color="auto" w:sz="4" w:space="0"/>
        <w:left w:val="single" w:color="auto" w:sz="4" w:space="0"/>
        <w:bottom w:val="single" w:color="auto" w:sz="4" w:space="0"/>
      </w:pBdr>
      <w:spacing w:before="100" w:beforeAutospacing="1" w:after="100" w:afterAutospacing="1"/>
      <w:jc w:val="center"/>
    </w:pPr>
    <w:rPr>
      <w:rFonts w:ascii="Arial Unicode MS" w:hAnsi="Arial Unicode MS" w:eastAsia="Arial Unicode MS" w:cs="Arial Unicode MS"/>
      <w:color w:val="000000"/>
      <w:sz w:val="20"/>
      <w:szCs w:val="20"/>
    </w:rPr>
  </w:style>
  <w:style w:type="paragraph" w:customStyle="1" w:styleId="165">
    <w:name w:val="xl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eastAsia="Arial Unicode MS"/>
      <w:color w:val="000000"/>
      <w:sz w:val="20"/>
      <w:szCs w:val="20"/>
    </w:rPr>
  </w:style>
  <w:style w:type="paragraph" w:customStyle="1" w:styleId="166">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67">
    <w:name w:val="正文11"/>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168">
    <w:name w:val="列出段落1"/>
    <w:basedOn w:val="1"/>
    <w:qFormat/>
    <w:uiPriority w:val="34"/>
    <w:pPr>
      <w:ind w:firstLine="420" w:firstLineChars="200"/>
    </w:pPr>
  </w:style>
  <w:style w:type="paragraph" w:customStyle="1" w:styleId="169">
    <w:name w:val="Char Char1"/>
    <w:basedOn w:val="1"/>
    <w:qFormat/>
    <w:uiPriority w:val="0"/>
  </w:style>
  <w:style w:type="paragraph" w:customStyle="1" w:styleId="170">
    <w:name w:val="Char Char Char Char Char Char1 Char1"/>
    <w:basedOn w:val="14"/>
    <w:qFormat/>
    <w:uiPriority w:val="0"/>
    <w:pPr>
      <w:shd w:val="clear" w:color="auto" w:fill="000080"/>
    </w:pPr>
    <w:rPr>
      <w:rFonts w:ascii="Tahoma" w:hAnsi="Tahoma"/>
      <w:sz w:val="24"/>
      <w:szCs w:val="24"/>
    </w:rPr>
  </w:style>
  <w:style w:type="paragraph" w:customStyle="1" w:styleId="171">
    <w:name w:val="_Style 5"/>
    <w:basedOn w:val="1"/>
    <w:qFormat/>
    <w:uiPriority w:val="0"/>
    <w:rPr>
      <w:szCs w:val="20"/>
    </w:rPr>
  </w:style>
  <w:style w:type="paragraph" w:customStyle="1" w:styleId="172">
    <w:name w:val="Char Char1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73">
    <w:name w:val="xl57"/>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textAlignment w:val="center"/>
    </w:pPr>
    <w:rPr>
      <w:szCs w:val="21"/>
    </w:rPr>
  </w:style>
  <w:style w:type="paragraph" w:customStyle="1" w:styleId="174">
    <w:name w:val="_Style 172"/>
    <w:unhideWhenUsed/>
    <w:qFormat/>
    <w:uiPriority w:val="0"/>
    <w:rPr>
      <w:rFonts w:ascii="Times New Roman" w:hAnsi="Times New Roman" w:eastAsia="宋体" w:cs="Times New Roman"/>
      <w:kern w:val="2"/>
      <w:sz w:val="21"/>
      <w:szCs w:val="24"/>
      <w:lang w:val="en-US" w:eastAsia="zh-CN" w:bidi="ar-SA"/>
    </w:rPr>
  </w:style>
  <w:style w:type="paragraph" w:customStyle="1" w:styleId="175">
    <w:name w:val="xl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color w:val="000000"/>
      <w:sz w:val="20"/>
      <w:szCs w:val="20"/>
    </w:rPr>
  </w:style>
  <w:style w:type="paragraph" w:customStyle="1" w:styleId="176">
    <w:name w:val="xl4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color w:val="000000"/>
      <w:sz w:val="20"/>
      <w:szCs w:val="20"/>
    </w:rPr>
  </w:style>
  <w:style w:type="paragraph" w:customStyle="1" w:styleId="177">
    <w:name w:val="样式2"/>
    <w:basedOn w:val="1"/>
    <w:qFormat/>
    <w:uiPriority w:val="0"/>
    <w:pPr>
      <w:adjustRightInd w:val="0"/>
      <w:spacing w:line="410" w:lineRule="atLeast"/>
      <w:textAlignment w:val="baseline"/>
    </w:pPr>
    <w:rPr>
      <w:szCs w:val="20"/>
    </w:rPr>
  </w:style>
  <w:style w:type="paragraph" w:customStyle="1" w:styleId="178">
    <w:name w:val="xl2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sz w:val="20"/>
      <w:szCs w:val="20"/>
    </w:rPr>
  </w:style>
  <w:style w:type="paragraph" w:customStyle="1" w:styleId="179">
    <w:name w:val="_Style 1"/>
    <w:basedOn w:val="1"/>
    <w:qFormat/>
    <w:uiPriority w:val="0"/>
    <w:pPr>
      <w:ind w:firstLine="420" w:firstLineChars="200"/>
    </w:pPr>
    <w:rPr>
      <w:rFonts w:ascii="Calibri" w:hAnsi="Calibri"/>
    </w:rPr>
  </w:style>
  <w:style w:type="paragraph" w:customStyle="1" w:styleId="180">
    <w:name w:val="font9"/>
    <w:basedOn w:val="1"/>
    <w:qFormat/>
    <w:uiPriority w:val="0"/>
    <w:pPr>
      <w:spacing w:before="100" w:beforeAutospacing="1" w:after="100" w:afterAutospacing="1"/>
    </w:pPr>
    <w:rPr>
      <w:rFonts w:hint="eastAsia" w:ascii="宋体" w:hAnsi="宋体" w:cs="Arial Unicode MS"/>
      <w:color w:val="000000"/>
      <w:sz w:val="20"/>
      <w:szCs w:val="20"/>
    </w:rPr>
  </w:style>
  <w:style w:type="paragraph" w:customStyle="1" w:styleId="181">
    <w:name w:val="样式 行距: 固定值 25 磅 首行缩进:  2 字符"/>
    <w:basedOn w:val="1"/>
    <w:qFormat/>
    <w:uiPriority w:val="0"/>
    <w:pPr>
      <w:adjustRightInd w:val="0"/>
      <w:spacing w:line="500" w:lineRule="exact"/>
      <w:ind w:firstLine="560" w:firstLineChars="200"/>
      <w:textAlignment w:val="baseline"/>
    </w:pPr>
    <w:rPr>
      <w:sz w:val="28"/>
      <w:szCs w:val="28"/>
    </w:rPr>
  </w:style>
  <w:style w:type="paragraph" w:customStyle="1" w:styleId="182">
    <w:name w:val="列出段落2"/>
    <w:basedOn w:val="1"/>
    <w:qFormat/>
    <w:uiPriority w:val="99"/>
    <w:pPr>
      <w:ind w:firstLine="420" w:firstLineChars="200"/>
    </w:pPr>
  </w:style>
  <w:style w:type="paragraph" w:customStyle="1" w:styleId="183">
    <w:name w:val="font7"/>
    <w:basedOn w:val="1"/>
    <w:qFormat/>
    <w:uiPriority w:val="0"/>
    <w:pPr>
      <w:spacing w:before="100" w:beforeAutospacing="1" w:after="100" w:afterAutospacing="1"/>
    </w:pPr>
    <w:rPr>
      <w:rFonts w:eastAsia="Arial Unicode MS"/>
      <w:b/>
      <w:bCs/>
      <w:color w:val="000000"/>
      <w:sz w:val="20"/>
      <w:szCs w:val="20"/>
    </w:rPr>
  </w:style>
  <w:style w:type="paragraph" w:customStyle="1" w:styleId="184">
    <w:name w:val="列出段落11"/>
    <w:basedOn w:val="1"/>
    <w:qFormat/>
    <w:uiPriority w:val="0"/>
    <w:pPr>
      <w:ind w:firstLine="420" w:firstLineChars="200"/>
    </w:pPr>
  </w:style>
  <w:style w:type="paragraph" w:customStyle="1" w:styleId="185">
    <w:name w:val="表格内文"/>
    <w:basedOn w:val="1"/>
    <w:qFormat/>
    <w:uiPriority w:val="0"/>
    <w:rPr>
      <w:rFonts w:cs="宋体"/>
      <w:szCs w:val="20"/>
    </w:rPr>
  </w:style>
  <w:style w:type="paragraph" w:customStyle="1" w:styleId="186">
    <w:name w:val="xl46"/>
    <w:basedOn w:val="1"/>
    <w:qFormat/>
    <w:uiPriority w:val="0"/>
    <w:pPr>
      <w:pBdr>
        <w:top w:val="single" w:color="auto" w:sz="4" w:space="0"/>
        <w:bottom w:val="single" w:color="auto" w:sz="4" w:space="0"/>
      </w:pBdr>
      <w:spacing w:before="100" w:beforeAutospacing="1" w:after="100" w:afterAutospacing="1"/>
    </w:pPr>
    <w:rPr>
      <w:rFonts w:ascii="Arial Unicode MS" w:hAnsi="Arial Unicode MS" w:eastAsia="Arial Unicode MS" w:cs="Arial Unicode MS"/>
      <w:b/>
      <w:bCs/>
      <w:color w:val="000000"/>
      <w:sz w:val="20"/>
      <w:szCs w:val="20"/>
    </w:rPr>
  </w:style>
  <w:style w:type="paragraph" w:customStyle="1" w:styleId="187">
    <w:name w:val="xl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color w:val="000000"/>
      <w:sz w:val="16"/>
      <w:szCs w:val="16"/>
    </w:rPr>
  </w:style>
  <w:style w:type="paragraph" w:customStyle="1" w:styleId="18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sz w:val="20"/>
      <w:szCs w:val="20"/>
    </w:rPr>
  </w:style>
  <w:style w:type="paragraph" w:customStyle="1" w:styleId="189">
    <w:name w:val="xl43"/>
    <w:basedOn w:val="1"/>
    <w:qFormat/>
    <w:uiPriority w:val="0"/>
    <w:pPr>
      <w:pBdr>
        <w:top w:val="single" w:color="auto" w:sz="4" w:space="0"/>
        <w:left w:val="single" w:color="auto" w:sz="4" w:space="0"/>
        <w:bottom w:val="single" w:color="auto" w:sz="4" w:space="0"/>
      </w:pBdr>
      <w:spacing w:before="100" w:beforeAutospacing="1" w:after="100" w:afterAutospacing="1"/>
    </w:pPr>
    <w:rPr>
      <w:rFonts w:ascii="Arial Unicode MS" w:hAnsi="Arial Unicode MS" w:eastAsia="Arial Unicode MS" w:cs="Arial Unicode MS"/>
      <w:color w:val="000000"/>
      <w:sz w:val="20"/>
      <w:szCs w:val="20"/>
    </w:rPr>
  </w:style>
  <w:style w:type="paragraph" w:customStyle="1" w:styleId="190">
    <w:name w:val="xl4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sz w:val="22"/>
      <w:szCs w:val="22"/>
    </w:rPr>
  </w:style>
  <w:style w:type="paragraph" w:customStyle="1" w:styleId="191">
    <w:name w:val="xl3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color w:val="000000"/>
      <w:sz w:val="20"/>
      <w:szCs w:val="20"/>
    </w:rPr>
  </w:style>
  <w:style w:type="paragraph" w:customStyle="1" w:styleId="192">
    <w:name w:val="Char11"/>
    <w:basedOn w:val="1"/>
    <w:qFormat/>
    <w:uiPriority w:val="0"/>
    <w:rPr>
      <w:rFonts w:ascii="仿宋_GB2312" w:eastAsia="仿宋_GB2312"/>
      <w:b/>
      <w:sz w:val="32"/>
      <w:szCs w:val="32"/>
    </w:rPr>
  </w:style>
  <w:style w:type="paragraph" w:customStyle="1" w:styleId="193">
    <w:name w:val="Char2"/>
    <w:basedOn w:val="1"/>
    <w:qFormat/>
    <w:uiPriority w:val="0"/>
    <w:pPr>
      <w:adjustRightInd w:val="0"/>
      <w:spacing w:line="360" w:lineRule="auto"/>
    </w:pPr>
    <w:rPr>
      <w:szCs w:val="20"/>
    </w:rPr>
  </w:style>
  <w:style w:type="paragraph" w:customStyle="1" w:styleId="194">
    <w:name w:val="菲页2"/>
    <w:basedOn w:val="4"/>
    <w:qFormat/>
    <w:uiPriority w:val="0"/>
    <w:pPr>
      <w:tabs>
        <w:tab w:val="left" w:pos="1000"/>
      </w:tabs>
      <w:spacing w:before="120" w:after="120" w:line="360" w:lineRule="auto"/>
      <w:ind w:left="1000" w:hanging="1000"/>
      <w:jc w:val="center"/>
    </w:pPr>
    <w:rPr>
      <w:rFonts w:ascii="黑体" w:hAnsi="宋体" w:eastAsia="黑体"/>
      <w:b w:val="0"/>
      <w:bCs w:val="0"/>
      <w:sz w:val="44"/>
      <w:szCs w:val="20"/>
    </w:rPr>
  </w:style>
  <w:style w:type="paragraph" w:customStyle="1" w:styleId="195">
    <w:name w:val="xl3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eastAsia="Arial Unicode MS"/>
      <w:color w:val="000000"/>
      <w:sz w:val="20"/>
      <w:szCs w:val="20"/>
    </w:rPr>
  </w:style>
  <w:style w:type="paragraph" w:customStyle="1" w:styleId="196">
    <w:name w:val="标题5"/>
    <w:basedOn w:val="6"/>
    <w:next w:val="6"/>
    <w:qFormat/>
    <w:uiPriority w:val="0"/>
    <w:pPr>
      <w:spacing w:before="0" w:after="0" w:line="300" w:lineRule="exact"/>
      <w:ind w:firstLine="630" w:firstLineChars="300"/>
    </w:pPr>
    <w:rPr>
      <w:b w:val="0"/>
      <w:bCs w:val="0"/>
      <w:color w:val="000000"/>
      <w:sz w:val="21"/>
      <w:szCs w:val="32"/>
    </w:rPr>
  </w:style>
  <w:style w:type="paragraph" w:customStyle="1" w:styleId="197">
    <w:name w:val="Table Text"/>
    <w:basedOn w:val="1"/>
    <w:qFormat/>
    <w:uiPriority w:val="0"/>
    <w:pPr>
      <w:spacing w:before="60" w:after="60"/>
    </w:pPr>
  </w:style>
  <w:style w:type="paragraph" w:customStyle="1" w:styleId="198">
    <w:name w:val="table head"/>
    <w:basedOn w:val="1"/>
    <w:qFormat/>
    <w:uiPriority w:val="0"/>
    <w:pPr>
      <w:keepNext/>
      <w:keepLines/>
      <w:adjustRightInd w:val="0"/>
      <w:spacing w:line="312" w:lineRule="atLeast"/>
      <w:jc w:val="center"/>
      <w:textAlignment w:val="baseline"/>
    </w:pPr>
    <w:rPr>
      <w:b/>
      <w:szCs w:val="20"/>
    </w:rPr>
  </w:style>
  <w:style w:type="paragraph" w:customStyle="1" w:styleId="199">
    <w:name w:val="xl36"/>
    <w:basedOn w:val="1"/>
    <w:qFormat/>
    <w:uiPriority w:val="0"/>
    <w:pPr>
      <w:spacing w:before="100" w:beforeAutospacing="1" w:after="100" w:afterAutospacing="1"/>
      <w:jc w:val="center"/>
    </w:pPr>
    <w:rPr>
      <w:rFonts w:ascii="Arial Unicode MS" w:hAnsi="Arial Unicode MS" w:eastAsia="Arial Unicode MS" w:cs="Arial Unicode MS"/>
      <w:color w:val="000000"/>
      <w:sz w:val="20"/>
      <w:szCs w:val="20"/>
    </w:rPr>
  </w:style>
  <w:style w:type="paragraph" w:customStyle="1" w:styleId="200">
    <w:name w:val="xl5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Arial Unicode MS" w:hAnsi="Arial Unicode MS" w:eastAsia="Arial Unicode MS" w:cs="Arial Unicode MS"/>
      <w:b/>
      <w:bCs/>
      <w:color w:val="000000"/>
      <w:sz w:val="20"/>
      <w:szCs w:val="20"/>
    </w:rPr>
  </w:style>
  <w:style w:type="paragraph" w:customStyle="1" w:styleId="201">
    <w:name w:val="xl55"/>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textAlignment w:val="center"/>
    </w:pPr>
    <w:rPr>
      <w:szCs w:val="21"/>
    </w:rPr>
  </w:style>
  <w:style w:type="paragraph" w:customStyle="1" w:styleId="202">
    <w:name w:val="List Paragraph1"/>
    <w:basedOn w:val="1"/>
    <w:qFormat/>
    <w:uiPriority w:val="0"/>
    <w:pPr>
      <w:ind w:firstLine="420" w:firstLineChars="200"/>
    </w:pPr>
    <w:rPr>
      <w:rFonts w:ascii="宋体" w:cs="宋体"/>
      <w:sz w:val="32"/>
      <w:szCs w:val="32"/>
    </w:rPr>
  </w:style>
  <w:style w:type="paragraph" w:customStyle="1" w:styleId="203">
    <w:name w:val="p15"/>
    <w:basedOn w:val="1"/>
    <w:qFormat/>
    <w:uiPriority w:val="0"/>
    <w:rPr>
      <w:rFonts w:ascii="Calibri" w:hAnsi="Calibri" w:cs="宋体"/>
      <w:szCs w:val="21"/>
    </w:rPr>
  </w:style>
  <w:style w:type="paragraph" w:customStyle="1" w:styleId="204">
    <w:name w:val="Char Char Char1"/>
    <w:basedOn w:val="1"/>
    <w:qFormat/>
    <w:uiPriority w:val="0"/>
    <w:pPr>
      <w:spacing w:after="160" w:line="240" w:lineRule="exact"/>
    </w:pPr>
    <w:rPr>
      <w:rFonts w:ascii="Verdana" w:hAnsi="Verdana"/>
      <w:sz w:val="20"/>
      <w:szCs w:val="20"/>
      <w:lang w:eastAsia="en-US"/>
    </w:rPr>
  </w:style>
  <w:style w:type="paragraph" w:customStyle="1" w:styleId="205">
    <w:name w:val="标题3"/>
    <w:basedOn w:val="4"/>
    <w:qFormat/>
    <w:uiPriority w:val="0"/>
    <w:pPr>
      <w:spacing w:line="413" w:lineRule="auto"/>
    </w:pPr>
    <w:rPr>
      <w:rFonts w:ascii="宋体" w:hAnsi="宋体"/>
      <w:sz w:val="28"/>
      <w:szCs w:val="28"/>
    </w:rPr>
  </w:style>
  <w:style w:type="paragraph" w:customStyle="1" w:styleId="206">
    <w:name w:val="Char1 Char Char Char Char Char Char"/>
    <w:basedOn w:val="1"/>
    <w:qFormat/>
    <w:uiPriority w:val="0"/>
    <w:rPr>
      <w:szCs w:val="20"/>
    </w:rPr>
  </w:style>
  <w:style w:type="paragraph" w:customStyle="1" w:styleId="207">
    <w:name w:val="目录标题"/>
    <w:basedOn w:val="2"/>
    <w:next w:val="1"/>
    <w:qFormat/>
    <w:uiPriority w:val="39"/>
    <w:pPr>
      <w:outlineLvl w:val="9"/>
    </w:pPr>
  </w:style>
  <w:style w:type="paragraph" w:customStyle="1" w:styleId="208">
    <w:name w:val="正文5"/>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20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210">
    <w:name w:val="_Style 6"/>
    <w:basedOn w:val="1"/>
    <w:qFormat/>
    <w:uiPriority w:val="34"/>
    <w:pPr>
      <w:ind w:firstLine="420" w:firstLineChars="200"/>
    </w:pPr>
    <w:rPr>
      <w:sz w:val="18"/>
      <w:szCs w:val="18"/>
    </w:rPr>
  </w:style>
  <w:style w:type="paragraph" w:customStyle="1" w:styleId="211">
    <w:name w:val="(符号)三标题1.1"/>
    <w:basedOn w:val="1"/>
    <w:qFormat/>
    <w:uiPriority w:val="99"/>
    <w:pPr>
      <w:tabs>
        <w:tab w:val="left" w:pos="420"/>
      </w:tabs>
      <w:spacing w:before="140" w:after="140" w:line="500" w:lineRule="exact"/>
      <w:ind w:left="430" w:hanging="430"/>
      <w:outlineLvl w:val="2"/>
    </w:pPr>
    <w:rPr>
      <w:rFonts w:ascii="楷体_GB2312" w:hAnsi="宋体" w:eastAsia="楷体_GB2312" w:cs="宋体"/>
      <w:b/>
      <w:bCs/>
      <w:sz w:val="28"/>
      <w:szCs w:val="20"/>
    </w:rPr>
  </w:style>
  <w:style w:type="paragraph" w:customStyle="1" w:styleId="212">
    <w:name w:val="目录"/>
    <w:basedOn w:val="1"/>
    <w:qFormat/>
    <w:uiPriority w:val="0"/>
    <w:pPr>
      <w:jc w:val="center"/>
    </w:pPr>
    <w:rPr>
      <w:rFonts w:ascii="宋体"/>
      <w:b/>
      <w:sz w:val="36"/>
      <w:szCs w:val="20"/>
    </w:rPr>
  </w:style>
  <w:style w:type="paragraph" w:customStyle="1" w:styleId="213">
    <w:name w:val="Char Char1 Char Char Char Char Char Char1"/>
    <w:basedOn w:val="1"/>
    <w:qFormat/>
    <w:uiPriority w:val="0"/>
    <w:pPr>
      <w:spacing w:after="160" w:line="240" w:lineRule="exact"/>
    </w:pPr>
    <w:rPr>
      <w:rFonts w:ascii="Verdana" w:hAnsi="Verdana" w:eastAsia="仿宋_GB2312"/>
      <w:szCs w:val="20"/>
      <w:lang w:eastAsia="en-US"/>
    </w:rPr>
  </w:style>
  <w:style w:type="paragraph" w:customStyle="1" w:styleId="214">
    <w:name w:val="正文文本 21"/>
    <w:basedOn w:val="1"/>
    <w:qFormat/>
    <w:uiPriority w:val="0"/>
    <w:pPr>
      <w:adjustRightInd w:val="0"/>
      <w:spacing w:line="300" w:lineRule="auto"/>
      <w:jc w:val="center"/>
      <w:textAlignment w:val="baseline"/>
    </w:pPr>
    <w:rPr>
      <w:rFonts w:ascii="宋体" w:hAnsi="宋体"/>
      <w:szCs w:val="20"/>
    </w:rPr>
  </w:style>
  <w:style w:type="paragraph" w:customStyle="1" w:styleId="215">
    <w:name w:val="正文文本 22"/>
    <w:basedOn w:val="1"/>
    <w:qFormat/>
    <w:uiPriority w:val="0"/>
    <w:pPr>
      <w:adjustRightInd w:val="0"/>
      <w:spacing w:line="300" w:lineRule="auto"/>
      <w:jc w:val="center"/>
      <w:textAlignment w:val="baseline"/>
    </w:pPr>
    <w:rPr>
      <w:rFonts w:ascii="宋体" w:hAnsi="宋体"/>
      <w:szCs w:val="20"/>
    </w:rPr>
  </w:style>
  <w:style w:type="paragraph" w:customStyle="1" w:styleId="216">
    <w:name w:val="目录文字"/>
    <w:basedOn w:val="1"/>
    <w:qFormat/>
    <w:uiPriority w:val="0"/>
    <w:pPr>
      <w:spacing w:line="480" w:lineRule="auto"/>
    </w:pPr>
    <w:rPr>
      <w:rFonts w:ascii="宋体" w:hAnsi="宋体"/>
      <w:szCs w:val="20"/>
    </w:rPr>
  </w:style>
  <w:style w:type="paragraph" w:customStyle="1" w:styleId="217">
    <w:name w:val="默认段落字体 Para Char Char Char Char"/>
    <w:basedOn w:val="1"/>
    <w:qFormat/>
    <w:uiPriority w:val="0"/>
    <w:rPr>
      <w:szCs w:val="21"/>
    </w:rPr>
  </w:style>
  <w:style w:type="paragraph" w:customStyle="1" w:styleId="218">
    <w:name w:val="xl44"/>
    <w:basedOn w:val="1"/>
    <w:qFormat/>
    <w:uiPriority w:val="0"/>
    <w:pPr>
      <w:pBdr>
        <w:top w:val="single" w:color="auto" w:sz="4" w:space="0"/>
        <w:bottom w:val="single" w:color="auto" w:sz="4" w:space="0"/>
        <w:right w:val="single" w:color="auto" w:sz="4" w:space="0"/>
      </w:pBdr>
      <w:spacing w:before="100" w:beforeAutospacing="1" w:after="100" w:afterAutospacing="1"/>
    </w:pPr>
    <w:rPr>
      <w:rFonts w:ascii="Arial Unicode MS" w:hAnsi="Arial Unicode MS" w:eastAsia="Arial Unicode MS" w:cs="Arial Unicode MS"/>
    </w:rPr>
  </w:style>
  <w:style w:type="paragraph" w:customStyle="1" w:styleId="219">
    <w:name w:val="标题6"/>
    <w:basedOn w:val="7"/>
    <w:qFormat/>
    <w:uiPriority w:val="0"/>
    <w:pPr>
      <w:tabs>
        <w:tab w:val="right" w:leader="dot" w:pos="9061"/>
      </w:tabs>
      <w:spacing w:line="319" w:lineRule="auto"/>
      <w:jc w:val="center"/>
    </w:pPr>
    <w:rPr>
      <w:rFonts w:ascii="宋体" w:hAnsi="Arial"/>
      <w:bCs w:val="0"/>
      <w:sz w:val="21"/>
    </w:rPr>
  </w:style>
  <w:style w:type="paragraph" w:customStyle="1" w:styleId="220">
    <w:name w:val="无间隔1"/>
    <w:basedOn w:val="1"/>
    <w:qFormat/>
    <w:uiPriority w:val="0"/>
    <w:rPr>
      <w:rFonts w:ascii="Calibri" w:hAnsi="Calibri"/>
      <w:sz w:val="20"/>
      <w:szCs w:val="20"/>
    </w:rPr>
  </w:style>
  <w:style w:type="paragraph" w:customStyle="1" w:styleId="221">
    <w:name w:val="纯文本11"/>
    <w:basedOn w:val="1"/>
    <w:qFormat/>
    <w:uiPriority w:val="0"/>
    <w:pPr>
      <w:adjustRightInd w:val="0"/>
      <w:textAlignment w:val="baseline"/>
    </w:pPr>
    <w:rPr>
      <w:rFonts w:ascii="宋体" w:hAnsi="Courier New"/>
      <w:szCs w:val="20"/>
    </w:rPr>
  </w:style>
  <w:style w:type="paragraph" w:customStyle="1" w:styleId="222">
    <w:name w:val="xl61"/>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szCs w:val="21"/>
    </w:rPr>
  </w:style>
  <w:style w:type="paragraph" w:customStyle="1" w:styleId="223">
    <w:name w:val="Absatz2AL"/>
    <w:basedOn w:val="18"/>
    <w:next w:val="1"/>
    <w:qFormat/>
    <w:uiPriority w:val="0"/>
    <w:pPr>
      <w:overflowPunct w:val="0"/>
      <w:autoSpaceDE w:val="0"/>
      <w:autoSpaceDN w:val="0"/>
      <w:adjustRightInd w:val="0"/>
      <w:spacing w:after="0"/>
    </w:pPr>
    <w:rPr>
      <w:rFonts w:eastAsia="楷体_GB2312"/>
      <w:kern w:val="0"/>
      <w:sz w:val="24"/>
      <w:szCs w:val="20"/>
      <w:lang w:val="de-DE" w:eastAsia="de-DE"/>
    </w:rPr>
  </w:style>
  <w:style w:type="paragraph" w:customStyle="1" w:styleId="224">
    <w:name w:val="Char1 Char Char Char Char Char Char1"/>
    <w:basedOn w:val="1"/>
    <w:qFormat/>
    <w:uiPriority w:val="0"/>
    <w:rPr>
      <w:szCs w:val="20"/>
    </w:rPr>
  </w:style>
  <w:style w:type="paragraph" w:customStyle="1" w:styleId="225">
    <w:name w:val="xl3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color w:val="000000"/>
      <w:sz w:val="20"/>
      <w:szCs w:val="20"/>
    </w:rPr>
  </w:style>
  <w:style w:type="paragraph" w:customStyle="1" w:styleId="226">
    <w:name w:val="Char Char1 Char Char Char Char Char Char Char Char Char Char Char Char Char Char1"/>
    <w:basedOn w:val="1"/>
    <w:qFormat/>
    <w:uiPriority w:val="0"/>
    <w:pPr>
      <w:spacing w:after="160" w:line="240" w:lineRule="exact"/>
    </w:pPr>
    <w:rPr>
      <w:rFonts w:ascii="Verdana" w:hAnsi="Verdana"/>
      <w:sz w:val="20"/>
      <w:szCs w:val="20"/>
      <w:lang w:eastAsia="en-US"/>
    </w:rPr>
  </w:style>
  <w:style w:type="paragraph" w:customStyle="1" w:styleId="227">
    <w:name w:val="xl60"/>
    <w:basedOn w:val="1"/>
    <w:qFormat/>
    <w:uiPriority w:val="0"/>
    <w:pPr>
      <w:pBdr>
        <w:left w:val="single" w:color="auto" w:sz="4" w:space="0"/>
        <w:bottom w:val="single" w:color="auto" w:sz="8" w:space="0"/>
        <w:right w:val="single" w:color="auto" w:sz="4" w:space="0"/>
      </w:pBdr>
      <w:spacing w:before="100" w:beforeAutospacing="1" w:after="100" w:afterAutospacing="1"/>
      <w:jc w:val="right"/>
      <w:textAlignment w:val="center"/>
    </w:pPr>
    <w:rPr>
      <w:szCs w:val="21"/>
    </w:rPr>
  </w:style>
  <w:style w:type="paragraph" w:customStyle="1" w:styleId="228">
    <w:name w:val="xl3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FF6600"/>
      <w:sz w:val="20"/>
      <w:szCs w:val="20"/>
    </w:rPr>
  </w:style>
  <w:style w:type="character" w:customStyle="1" w:styleId="229">
    <w:name w:val="标题 4 Char"/>
    <w:link w:val="5"/>
    <w:qFormat/>
    <w:uiPriority w:val="9"/>
    <w:rPr>
      <w:b/>
      <w:bCs/>
      <w:sz w:val="28"/>
      <w:szCs w:val="28"/>
    </w:rPr>
  </w:style>
  <w:style w:type="character" w:customStyle="1" w:styleId="230">
    <w:name w:val="标题 1 Char"/>
    <w:link w:val="2"/>
    <w:qFormat/>
    <w:uiPriority w:val="0"/>
    <w:rPr>
      <w:rFonts w:ascii="Cambria" w:hAnsi="Cambria"/>
      <w:b/>
      <w:bCs/>
      <w:kern w:val="32"/>
      <w:sz w:val="32"/>
      <w:szCs w:val="32"/>
    </w:rPr>
  </w:style>
  <w:style w:type="character" w:customStyle="1" w:styleId="231">
    <w:name w:val="标题 2 Char"/>
    <w:link w:val="3"/>
    <w:qFormat/>
    <w:uiPriority w:val="9"/>
    <w:rPr>
      <w:rFonts w:ascii="Cambria" w:hAnsi="Cambria"/>
      <w:b/>
      <w:bCs/>
      <w:iCs/>
      <w:sz w:val="28"/>
      <w:szCs w:val="28"/>
    </w:rPr>
  </w:style>
  <w:style w:type="character" w:customStyle="1" w:styleId="232">
    <w:name w:val="标题 3 Char"/>
    <w:link w:val="4"/>
    <w:qFormat/>
    <w:uiPriority w:val="9"/>
    <w:rPr>
      <w:rFonts w:ascii="Cambria" w:hAnsi="Cambria" w:eastAsia="宋体"/>
      <w:b/>
      <w:bCs/>
      <w:sz w:val="26"/>
      <w:szCs w:val="26"/>
    </w:rPr>
  </w:style>
  <w:style w:type="character" w:customStyle="1" w:styleId="233">
    <w:name w:val="标题 5 Char"/>
    <w:link w:val="6"/>
    <w:qFormat/>
    <w:uiPriority w:val="9"/>
    <w:rPr>
      <w:b/>
      <w:bCs/>
      <w:i/>
      <w:iCs/>
      <w:sz w:val="26"/>
      <w:szCs w:val="26"/>
    </w:rPr>
  </w:style>
  <w:style w:type="character" w:customStyle="1" w:styleId="234">
    <w:name w:val="标题 6 Char"/>
    <w:link w:val="7"/>
    <w:qFormat/>
    <w:uiPriority w:val="9"/>
    <w:rPr>
      <w:b/>
      <w:bCs/>
    </w:rPr>
  </w:style>
  <w:style w:type="character" w:customStyle="1" w:styleId="235">
    <w:name w:val="标题 7 Char"/>
    <w:link w:val="8"/>
    <w:qFormat/>
    <w:uiPriority w:val="9"/>
    <w:rPr>
      <w:sz w:val="24"/>
      <w:szCs w:val="24"/>
    </w:rPr>
  </w:style>
  <w:style w:type="character" w:customStyle="1" w:styleId="236">
    <w:name w:val="标题 8 Char"/>
    <w:link w:val="9"/>
    <w:qFormat/>
    <w:uiPriority w:val="9"/>
    <w:rPr>
      <w:i/>
      <w:iCs/>
      <w:sz w:val="24"/>
      <w:szCs w:val="24"/>
    </w:rPr>
  </w:style>
  <w:style w:type="character" w:customStyle="1" w:styleId="237">
    <w:name w:val="标题 9 Char"/>
    <w:link w:val="10"/>
    <w:qFormat/>
    <w:uiPriority w:val="9"/>
    <w:rPr>
      <w:rFonts w:ascii="Cambria" w:hAnsi="Cambria" w:eastAsia="宋体"/>
    </w:rPr>
  </w:style>
  <w:style w:type="character" w:customStyle="1" w:styleId="238">
    <w:name w:val="正文缩进 Char"/>
    <w:link w:val="12"/>
    <w:qFormat/>
    <w:uiPriority w:val="0"/>
    <w:rPr>
      <w:kern w:val="2"/>
      <w:sz w:val="21"/>
    </w:rPr>
  </w:style>
  <w:style w:type="character" w:customStyle="1" w:styleId="239">
    <w:name w:val="文档结构图 Char"/>
    <w:link w:val="14"/>
    <w:qFormat/>
    <w:uiPriority w:val="0"/>
    <w:rPr>
      <w:rFonts w:ascii="宋体" w:eastAsia="宋体"/>
      <w:kern w:val="2"/>
      <w:sz w:val="18"/>
      <w:szCs w:val="18"/>
      <w:lang w:bidi="ar-SA"/>
    </w:rPr>
  </w:style>
  <w:style w:type="character" w:customStyle="1" w:styleId="240">
    <w:name w:val="批注文字 Char"/>
    <w:link w:val="15"/>
    <w:qFormat/>
    <w:uiPriority w:val="99"/>
    <w:rPr>
      <w:rFonts w:eastAsia="宋体"/>
      <w:kern w:val="2"/>
      <w:sz w:val="21"/>
      <w:szCs w:val="24"/>
      <w:lang w:val="en-US" w:eastAsia="zh-CN" w:bidi="ar-SA"/>
    </w:rPr>
  </w:style>
  <w:style w:type="character" w:customStyle="1" w:styleId="241">
    <w:name w:val="正文文本 3 Char"/>
    <w:link w:val="16"/>
    <w:qFormat/>
    <w:uiPriority w:val="0"/>
    <w:rPr>
      <w:rFonts w:eastAsia="宋体"/>
      <w:b/>
      <w:bCs/>
      <w:kern w:val="2"/>
      <w:sz w:val="24"/>
      <w:szCs w:val="24"/>
      <w:lang w:bidi="ar-SA"/>
    </w:rPr>
  </w:style>
  <w:style w:type="character" w:customStyle="1" w:styleId="242">
    <w:name w:val="正文文本 Char"/>
    <w:link w:val="18"/>
    <w:qFormat/>
    <w:uiPriority w:val="0"/>
    <w:rPr>
      <w:kern w:val="2"/>
      <w:sz w:val="21"/>
      <w:szCs w:val="24"/>
    </w:rPr>
  </w:style>
  <w:style w:type="character" w:customStyle="1" w:styleId="243">
    <w:name w:val="副标题 Char"/>
    <w:link w:val="33"/>
    <w:qFormat/>
    <w:uiPriority w:val="11"/>
    <w:rPr>
      <w:rFonts w:ascii="Cambria" w:hAnsi="Cambria" w:eastAsia="宋体"/>
      <w:sz w:val="24"/>
      <w:szCs w:val="24"/>
    </w:rPr>
  </w:style>
  <w:style w:type="character" w:customStyle="1" w:styleId="244">
    <w:name w:val="正文文本缩进 Char"/>
    <w:link w:val="20"/>
    <w:qFormat/>
    <w:uiPriority w:val="0"/>
    <w:rPr>
      <w:kern w:val="2"/>
      <w:sz w:val="21"/>
      <w:szCs w:val="24"/>
      <w:lang w:bidi="ar-SA"/>
    </w:rPr>
  </w:style>
  <w:style w:type="character" w:customStyle="1" w:styleId="245">
    <w:name w:val="纯文本 Char"/>
    <w:link w:val="24"/>
    <w:qFormat/>
    <w:uiPriority w:val="0"/>
    <w:rPr>
      <w:rFonts w:ascii="宋体" w:hAnsi="Courier New"/>
      <w:kern w:val="2"/>
      <w:sz w:val="21"/>
    </w:rPr>
  </w:style>
  <w:style w:type="character" w:customStyle="1" w:styleId="246">
    <w:name w:val="日期 Char"/>
    <w:link w:val="26"/>
    <w:qFormat/>
    <w:uiPriority w:val="0"/>
    <w:rPr>
      <w:kern w:val="2"/>
      <w:sz w:val="21"/>
      <w:szCs w:val="24"/>
    </w:rPr>
  </w:style>
  <w:style w:type="character" w:customStyle="1" w:styleId="247">
    <w:name w:val="正文文本缩进 2 Char"/>
    <w:link w:val="27"/>
    <w:qFormat/>
    <w:uiPriority w:val="0"/>
    <w:rPr>
      <w:kern w:val="2"/>
      <w:sz w:val="32"/>
      <w:szCs w:val="24"/>
    </w:rPr>
  </w:style>
  <w:style w:type="character" w:customStyle="1" w:styleId="248">
    <w:name w:val="批注框文本 Char"/>
    <w:link w:val="28"/>
    <w:qFormat/>
    <w:uiPriority w:val="99"/>
    <w:rPr>
      <w:kern w:val="2"/>
      <w:sz w:val="18"/>
      <w:szCs w:val="18"/>
      <w:lang w:bidi="ar-SA"/>
    </w:rPr>
  </w:style>
  <w:style w:type="character" w:customStyle="1" w:styleId="249">
    <w:name w:val="页脚 Char"/>
    <w:link w:val="29"/>
    <w:qFormat/>
    <w:uiPriority w:val="99"/>
    <w:rPr>
      <w:kern w:val="2"/>
      <w:sz w:val="18"/>
      <w:szCs w:val="18"/>
    </w:rPr>
  </w:style>
  <w:style w:type="character" w:customStyle="1" w:styleId="250">
    <w:name w:val="页眉 Char"/>
    <w:link w:val="30"/>
    <w:qFormat/>
    <w:uiPriority w:val="99"/>
    <w:rPr>
      <w:kern w:val="2"/>
      <w:sz w:val="18"/>
      <w:szCs w:val="18"/>
    </w:rPr>
  </w:style>
  <w:style w:type="character" w:customStyle="1" w:styleId="251">
    <w:name w:val="脚注文本 Char"/>
    <w:link w:val="34"/>
    <w:qFormat/>
    <w:uiPriority w:val="0"/>
    <w:rPr>
      <w:kern w:val="2"/>
      <w:sz w:val="18"/>
      <w:szCs w:val="18"/>
      <w:lang w:bidi="ar-SA"/>
    </w:rPr>
  </w:style>
  <w:style w:type="character" w:customStyle="1" w:styleId="252">
    <w:name w:val="正文文本缩进 3 Char"/>
    <w:link w:val="36"/>
    <w:qFormat/>
    <w:uiPriority w:val="0"/>
    <w:rPr>
      <w:rFonts w:eastAsia="楷体"/>
      <w:sz w:val="24"/>
      <w:lang w:bidi="ar-SA"/>
    </w:rPr>
  </w:style>
  <w:style w:type="character" w:customStyle="1" w:styleId="253">
    <w:name w:val="正文文本 2 Char"/>
    <w:link w:val="39"/>
    <w:qFormat/>
    <w:uiPriority w:val="0"/>
    <w:rPr>
      <w:rFonts w:ascii="Calibri" w:hAnsi="Calibri"/>
      <w:kern w:val="2"/>
      <w:sz w:val="21"/>
      <w:szCs w:val="22"/>
    </w:rPr>
  </w:style>
  <w:style w:type="character" w:customStyle="1" w:styleId="254">
    <w:name w:val="HTML 预设格式 Char"/>
    <w:link w:val="40"/>
    <w:qFormat/>
    <w:uiPriority w:val="0"/>
    <w:rPr>
      <w:rFonts w:ascii="Arial" w:hAnsi="Arial" w:cs="Arial"/>
      <w:sz w:val="21"/>
      <w:szCs w:val="24"/>
    </w:rPr>
  </w:style>
  <w:style w:type="character" w:customStyle="1" w:styleId="255">
    <w:name w:val="标题 Char"/>
    <w:link w:val="43"/>
    <w:qFormat/>
    <w:uiPriority w:val="10"/>
    <w:rPr>
      <w:rFonts w:ascii="Cambria" w:hAnsi="Cambria" w:eastAsia="宋体"/>
      <w:b/>
      <w:bCs/>
      <w:kern w:val="28"/>
      <w:sz w:val="32"/>
      <w:szCs w:val="32"/>
    </w:rPr>
  </w:style>
  <w:style w:type="character" w:customStyle="1" w:styleId="256">
    <w:name w:val="批注主题 Char"/>
    <w:basedOn w:val="240"/>
    <w:link w:val="44"/>
    <w:qFormat/>
    <w:uiPriority w:val="99"/>
    <w:rPr>
      <w:rFonts w:eastAsia="宋体"/>
      <w:kern w:val="2"/>
      <w:sz w:val="21"/>
      <w:szCs w:val="24"/>
      <w:lang w:val="en-US" w:eastAsia="zh-CN" w:bidi="ar-SA"/>
    </w:rPr>
  </w:style>
  <w:style w:type="character" w:customStyle="1" w:styleId="257">
    <w:name w:val="正文首行缩进 Char"/>
    <w:link w:val="45"/>
    <w:qFormat/>
    <w:uiPriority w:val="0"/>
    <w:rPr>
      <w:rFonts w:ascii="Arial" w:hAnsi="Arial"/>
      <w:color w:val="000000"/>
      <w:kern w:val="2"/>
      <w:sz w:val="21"/>
      <w:szCs w:val="24"/>
    </w:rPr>
  </w:style>
  <w:style w:type="character" w:customStyle="1" w:styleId="258">
    <w:name w:val="Char Char36"/>
    <w:basedOn w:val="49"/>
    <w:qFormat/>
    <w:uiPriority w:val="0"/>
  </w:style>
  <w:style w:type="character" w:customStyle="1" w:styleId="259">
    <w:name w:val="_Style 257"/>
    <w:qFormat/>
    <w:uiPriority w:val="19"/>
    <w:rPr>
      <w:i/>
      <w:color w:val="5A5A5A"/>
    </w:rPr>
  </w:style>
  <w:style w:type="character" w:customStyle="1" w:styleId="260">
    <w:name w:val="tabletextchar1"/>
    <w:basedOn w:val="49"/>
    <w:qFormat/>
    <w:uiPriority w:val="0"/>
  </w:style>
  <w:style w:type="character" w:customStyle="1" w:styleId="261">
    <w:name w:val="Char Char20"/>
    <w:qFormat/>
    <w:uiPriority w:val="0"/>
  </w:style>
  <w:style w:type="character" w:customStyle="1" w:styleId="262">
    <w:name w:val="apple-converted-space"/>
    <w:basedOn w:val="49"/>
    <w:qFormat/>
    <w:uiPriority w:val="0"/>
  </w:style>
  <w:style w:type="character" w:customStyle="1" w:styleId="263">
    <w:name w:val="apple-style-span"/>
    <w:basedOn w:val="49"/>
    <w:qFormat/>
    <w:uiPriority w:val="0"/>
  </w:style>
  <w:style w:type="character" w:customStyle="1" w:styleId="264">
    <w:name w:val="font61"/>
    <w:qFormat/>
    <w:uiPriority w:val="0"/>
    <w:rPr>
      <w:rFonts w:ascii="Arial" w:hAnsi="Arial" w:cs="Arial"/>
      <w:b/>
      <w:color w:val="000000"/>
      <w:sz w:val="28"/>
      <w:szCs w:val="28"/>
      <w:u w:val="none"/>
    </w:rPr>
  </w:style>
  <w:style w:type="character" w:customStyle="1" w:styleId="265">
    <w:name w:val="正文文本缩进 2 Char1"/>
    <w:semiHidden/>
    <w:qFormat/>
    <w:uiPriority w:val="99"/>
    <w:rPr>
      <w:rFonts w:ascii="Times New Roman" w:hAnsi="Times New Roman" w:eastAsia="宋体" w:cs="Times New Roman"/>
      <w:kern w:val="2"/>
      <w:sz w:val="21"/>
    </w:rPr>
  </w:style>
  <w:style w:type="character" w:customStyle="1" w:styleId="266">
    <w:name w:val="样式2 Char Char1"/>
    <w:basedOn w:val="49"/>
    <w:qFormat/>
    <w:uiPriority w:val="0"/>
  </w:style>
  <w:style w:type="character" w:customStyle="1" w:styleId="267">
    <w:name w:val="meuncn1"/>
    <w:basedOn w:val="49"/>
    <w:qFormat/>
    <w:uiPriority w:val="0"/>
  </w:style>
  <w:style w:type="character" w:customStyle="1" w:styleId="268">
    <w:name w:val="Table Text Char Char"/>
    <w:basedOn w:val="49"/>
    <w:qFormat/>
    <w:uiPriority w:val="0"/>
  </w:style>
  <w:style w:type="character" w:customStyle="1" w:styleId="269">
    <w:name w:val="Char Char14"/>
    <w:qFormat/>
    <w:uiPriority w:val="0"/>
  </w:style>
  <w:style w:type="character" w:customStyle="1" w:styleId="270">
    <w:name w:val="正文（小标题） Char Char"/>
    <w:basedOn w:val="49"/>
    <w:qFormat/>
    <w:uiPriority w:val="0"/>
  </w:style>
  <w:style w:type="character" w:customStyle="1" w:styleId="271">
    <w:name w:val="Char Char31"/>
    <w:qFormat/>
    <w:uiPriority w:val="0"/>
  </w:style>
  <w:style w:type="character" w:customStyle="1" w:styleId="272">
    <w:name w:val="Balloon Text Char"/>
    <w:semiHidden/>
    <w:qFormat/>
    <w:locked/>
    <w:uiPriority w:val="99"/>
    <w:rPr>
      <w:rFonts w:ascii="Calibri" w:hAnsi="Calibri" w:eastAsia="宋体" w:cs="Times New Roman"/>
      <w:sz w:val="18"/>
      <w:szCs w:val="18"/>
    </w:rPr>
  </w:style>
  <w:style w:type="character" w:customStyle="1" w:styleId="273">
    <w:name w:val="批注主题 Char1"/>
    <w:semiHidden/>
    <w:qFormat/>
    <w:uiPriority w:val="99"/>
    <w:rPr>
      <w:rFonts w:ascii="宋体" w:hAnsi="宋体" w:eastAsia="宋体" w:cs="Times New Roman"/>
      <w:b/>
      <w:bCs/>
      <w:kern w:val="2"/>
      <w:sz w:val="24"/>
      <w:szCs w:val="24"/>
      <w:lang w:val="en-US" w:eastAsia="zh-CN" w:bidi="ar-SA"/>
    </w:rPr>
  </w:style>
  <w:style w:type="character" w:customStyle="1" w:styleId="274">
    <w:name w:val="正文文本缩进 Char Char"/>
    <w:basedOn w:val="49"/>
    <w:qFormat/>
    <w:uiPriority w:val="0"/>
  </w:style>
  <w:style w:type="character" w:customStyle="1" w:styleId="275">
    <w:name w:val="z-窗体底端 Char1"/>
    <w:semiHidden/>
    <w:qFormat/>
    <w:uiPriority w:val="99"/>
    <w:rPr>
      <w:rFonts w:ascii="Arial" w:hAnsi="Arial" w:eastAsia="宋体" w:cs="Arial"/>
      <w:vanish/>
      <w:kern w:val="2"/>
      <w:sz w:val="16"/>
      <w:szCs w:val="16"/>
    </w:rPr>
  </w:style>
  <w:style w:type="character" w:customStyle="1" w:styleId="276">
    <w:name w:val="Char Char10"/>
    <w:qFormat/>
    <w:uiPriority w:val="0"/>
  </w:style>
  <w:style w:type="character" w:customStyle="1" w:styleId="277">
    <w:name w:val="Char Char2"/>
    <w:qFormat/>
    <w:uiPriority w:val="0"/>
  </w:style>
  <w:style w:type="character" w:customStyle="1" w:styleId="278">
    <w:name w:val="_Style 276"/>
    <w:qFormat/>
    <w:uiPriority w:val="33"/>
    <w:rPr>
      <w:rFonts w:ascii="Cambria" w:hAnsi="Cambria" w:eastAsia="宋体"/>
      <w:b/>
      <w:i/>
      <w:sz w:val="24"/>
      <w:szCs w:val="24"/>
    </w:rPr>
  </w:style>
  <w:style w:type="character" w:customStyle="1" w:styleId="279">
    <w:name w:val="p14"/>
    <w:basedOn w:val="49"/>
    <w:qFormat/>
    <w:uiPriority w:val="0"/>
  </w:style>
  <w:style w:type="character" w:customStyle="1" w:styleId="280">
    <w:name w:val="正文格式 Char Char"/>
    <w:basedOn w:val="49"/>
    <w:qFormat/>
    <w:uiPriority w:val="0"/>
  </w:style>
  <w:style w:type="character" w:customStyle="1" w:styleId="281">
    <w:name w:val="font01"/>
    <w:qFormat/>
    <w:uiPriority w:val="0"/>
    <w:rPr>
      <w:rFonts w:hint="eastAsia" w:ascii="宋体" w:hAnsi="宋体" w:eastAsia="宋体" w:cs="宋体"/>
      <w:color w:val="000000"/>
      <w:sz w:val="22"/>
      <w:szCs w:val="22"/>
      <w:u w:val="none"/>
    </w:rPr>
  </w:style>
  <w:style w:type="character" w:customStyle="1" w:styleId="282">
    <w:name w:val="Char Char26"/>
    <w:qFormat/>
    <w:uiPriority w:val="0"/>
  </w:style>
  <w:style w:type="character" w:customStyle="1" w:styleId="283">
    <w:name w:val="标题 9 Char Char"/>
    <w:basedOn w:val="49"/>
    <w:qFormat/>
    <w:uiPriority w:val="0"/>
  </w:style>
  <w:style w:type="character" w:customStyle="1" w:styleId="284">
    <w:name w:val="(符号)五标题1.1.1 Char"/>
    <w:link w:val="62"/>
    <w:qFormat/>
    <w:locked/>
    <w:uiPriority w:val="99"/>
    <w:rPr>
      <w:rFonts w:ascii="宋体" w:hAnsi="宋体"/>
      <w:color w:val="000000"/>
      <w:kern w:val="2"/>
      <w:sz w:val="24"/>
      <w:lang w:bidi="ar-SA"/>
    </w:rPr>
  </w:style>
  <w:style w:type="character" w:customStyle="1" w:styleId="285">
    <w:name w:val="编号1 Char Char"/>
    <w:basedOn w:val="49"/>
    <w:qFormat/>
    <w:uiPriority w:val="0"/>
  </w:style>
  <w:style w:type="character" w:customStyle="1" w:styleId="286">
    <w:name w:val="Char Char37"/>
    <w:basedOn w:val="49"/>
    <w:qFormat/>
    <w:uiPriority w:val="0"/>
  </w:style>
  <w:style w:type="character" w:customStyle="1" w:styleId="287">
    <w:name w:val="Char Char32"/>
    <w:qFormat/>
    <w:uiPriority w:val="0"/>
  </w:style>
  <w:style w:type="character" w:customStyle="1" w:styleId="288">
    <w:name w:val="Char Char49"/>
    <w:basedOn w:val="49"/>
    <w:qFormat/>
    <w:uiPriority w:val="0"/>
  </w:style>
  <w:style w:type="character" w:customStyle="1" w:styleId="289">
    <w:name w:val="方框小标题 Char Char"/>
    <w:basedOn w:val="49"/>
    <w:qFormat/>
    <w:uiPriority w:val="0"/>
  </w:style>
  <w:style w:type="character" w:customStyle="1" w:styleId="290">
    <w:name w:val="Char Char4"/>
    <w:basedOn w:val="49"/>
    <w:qFormat/>
    <w:uiPriority w:val="0"/>
  </w:style>
  <w:style w:type="character" w:customStyle="1" w:styleId="291">
    <w:name w:val="标题 6 Char Char"/>
    <w:basedOn w:val="49"/>
    <w:qFormat/>
    <w:uiPriority w:val="0"/>
  </w:style>
  <w:style w:type="character" w:customStyle="1" w:styleId="292">
    <w:name w:val="Char Char44"/>
    <w:basedOn w:val="49"/>
    <w:qFormat/>
    <w:uiPriority w:val="0"/>
  </w:style>
  <w:style w:type="character" w:customStyle="1" w:styleId="293">
    <w:name w:val="ca-10"/>
    <w:basedOn w:val="49"/>
    <w:qFormat/>
    <w:uiPriority w:val="0"/>
  </w:style>
  <w:style w:type="character" w:customStyle="1" w:styleId="294">
    <w:name w:val="H1 Char"/>
    <w:basedOn w:val="49"/>
    <w:qFormat/>
    <w:uiPriority w:val="0"/>
  </w:style>
  <w:style w:type="character" w:customStyle="1" w:styleId="295">
    <w:name w:val="Char Char40"/>
    <w:qFormat/>
    <w:uiPriority w:val="0"/>
  </w:style>
  <w:style w:type="character" w:customStyle="1" w:styleId="296">
    <w:name w:val="Char Char441"/>
    <w:qFormat/>
    <w:uiPriority w:val="0"/>
  </w:style>
  <w:style w:type="character" w:customStyle="1" w:styleId="297">
    <w:name w:val="标题 2 Char Char"/>
    <w:basedOn w:val="49"/>
    <w:qFormat/>
    <w:uiPriority w:val="0"/>
  </w:style>
  <w:style w:type="character" w:customStyle="1" w:styleId="298">
    <w:name w:val="加点正文缩进 Char Char"/>
    <w:basedOn w:val="49"/>
    <w:qFormat/>
    <w:uiPriority w:val="0"/>
  </w:style>
  <w:style w:type="character" w:customStyle="1" w:styleId="299">
    <w:name w:val="font31"/>
    <w:qFormat/>
    <w:uiPriority w:val="0"/>
    <w:rPr>
      <w:rFonts w:hint="eastAsia" w:ascii="宋体" w:hAnsi="宋体" w:eastAsia="宋体" w:cs="宋体"/>
      <w:color w:val="000000"/>
      <w:sz w:val="22"/>
      <w:szCs w:val="22"/>
      <w:u w:val="none"/>
    </w:rPr>
  </w:style>
  <w:style w:type="character" w:customStyle="1" w:styleId="300">
    <w:name w:val="样式2 Char Char"/>
    <w:basedOn w:val="49"/>
    <w:qFormat/>
    <w:uiPriority w:val="0"/>
  </w:style>
  <w:style w:type="character" w:customStyle="1" w:styleId="301">
    <w:name w:val="img1"/>
    <w:basedOn w:val="49"/>
    <w:qFormat/>
    <w:uiPriority w:val="0"/>
  </w:style>
  <w:style w:type="character" w:customStyle="1" w:styleId="302">
    <w:name w:val="标题1"/>
    <w:qFormat/>
    <w:uiPriority w:val="0"/>
  </w:style>
  <w:style w:type="character" w:customStyle="1" w:styleId="303">
    <w:name w:val="Char Char Char Char Char Char Char Char Char Char Char"/>
    <w:qFormat/>
    <w:uiPriority w:val="0"/>
    <w:rPr>
      <w:rFonts w:ascii="宋体"/>
      <w:kern w:val="2"/>
      <w:sz w:val="18"/>
      <w:szCs w:val="18"/>
    </w:rPr>
  </w:style>
  <w:style w:type="character" w:customStyle="1" w:styleId="304">
    <w:name w:val="Char Char43"/>
    <w:qFormat/>
    <w:uiPriority w:val="0"/>
  </w:style>
  <w:style w:type="character" w:customStyle="1" w:styleId="305">
    <w:name w:val="正文缩进 Char Char Char"/>
    <w:basedOn w:val="49"/>
    <w:qFormat/>
    <w:uiPriority w:val="0"/>
  </w:style>
  <w:style w:type="character" w:customStyle="1" w:styleId="306">
    <w:name w:val="Char Char33"/>
    <w:qFormat/>
    <w:uiPriority w:val="0"/>
  </w:style>
  <w:style w:type="character" w:customStyle="1" w:styleId="307">
    <w:name w:val="Char Char35"/>
    <w:qFormat/>
    <w:uiPriority w:val="0"/>
  </w:style>
  <w:style w:type="character" w:customStyle="1" w:styleId="308">
    <w:name w:val="arc11"/>
    <w:basedOn w:val="49"/>
    <w:qFormat/>
    <w:uiPriority w:val="0"/>
  </w:style>
  <w:style w:type="character" w:customStyle="1" w:styleId="309">
    <w:name w:val="short_text"/>
    <w:basedOn w:val="49"/>
    <w:qFormat/>
    <w:uiPriority w:val="0"/>
  </w:style>
  <w:style w:type="character" w:customStyle="1" w:styleId="310">
    <w:name w:val="Char Char27"/>
    <w:qFormat/>
    <w:uiPriority w:val="0"/>
  </w:style>
  <w:style w:type="character" w:customStyle="1" w:styleId="311">
    <w:name w:val="正文（缩进） Char1"/>
    <w:basedOn w:val="49"/>
    <w:qFormat/>
    <w:uiPriority w:val="0"/>
  </w:style>
  <w:style w:type="character" w:customStyle="1" w:styleId="312">
    <w:name w:val="Char Char13"/>
    <w:basedOn w:val="269"/>
    <w:qFormat/>
    <w:uiPriority w:val="0"/>
  </w:style>
  <w:style w:type="character" w:customStyle="1" w:styleId="313">
    <w:name w:val="style261"/>
    <w:basedOn w:val="49"/>
    <w:qFormat/>
    <w:uiPriority w:val="0"/>
  </w:style>
  <w:style w:type="character" w:customStyle="1" w:styleId="314">
    <w:name w:val="ca-6"/>
    <w:basedOn w:val="49"/>
    <w:qFormat/>
    <w:uiPriority w:val="0"/>
  </w:style>
  <w:style w:type="character" w:customStyle="1" w:styleId="315">
    <w:name w:val="Char Char17"/>
    <w:qFormat/>
    <w:uiPriority w:val="0"/>
  </w:style>
  <w:style w:type="character" w:customStyle="1" w:styleId="316">
    <w:name w:val="Char Char15"/>
    <w:qFormat/>
    <w:uiPriority w:val="0"/>
  </w:style>
  <w:style w:type="character" w:customStyle="1" w:styleId="317">
    <w:name w:val="ca-8"/>
    <w:basedOn w:val="49"/>
    <w:qFormat/>
    <w:uiPriority w:val="0"/>
  </w:style>
  <w:style w:type="character" w:customStyle="1" w:styleId="318">
    <w:name w:val="图表正文 Char Char"/>
    <w:basedOn w:val="49"/>
    <w:qFormat/>
    <w:uiPriority w:val="0"/>
  </w:style>
  <w:style w:type="character" w:customStyle="1" w:styleId="319">
    <w:name w:val="_Style 317"/>
    <w:qFormat/>
    <w:uiPriority w:val="31"/>
    <w:rPr>
      <w:sz w:val="24"/>
      <w:szCs w:val="24"/>
      <w:u w:val="single"/>
    </w:rPr>
  </w:style>
  <w:style w:type="character" w:customStyle="1" w:styleId="320">
    <w:name w:val="Anrede1IhrZeichen"/>
    <w:basedOn w:val="49"/>
    <w:qFormat/>
    <w:uiPriority w:val="0"/>
  </w:style>
  <w:style w:type="character" w:customStyle="1" w:styleId="321">
    <w:name w:val="无间隔 Char"/>
    <w:link w:val="63"/>
    <w:qFormat/>
    <w:uiPriority w:val="1"/>
    <w:rPr>
      <w:sz w:val="24"/>
      <w:szCs w:val="32"/>
    </w:rPr>
  </w:style>
  <w:style w:type="character" w:customStyle="1" w:styleId="322">
    <w:name w:val="Char Char46"/>
    <w:qFormat/>
    <w:uiPriority w:val="0"/>
  </w:style>
  <w:style w:type="character" w:customStyle="1" w:styleId="323">
    <w:name w:val="首航缩进 Char Char"/>
    <w:basedOn w:val="49"/>
    <w:qFormat/>
    <w:uiPriority w:val="0"/>
  </w:style>
  <w:style w:type="character" w:customStyle="1" w:styleId="324">
    <w:name w:val="font_01"/>
    <w:basedOn w:val="49"/>
    <w:qFormat/>
    <w:uiPriority w:val="0"/>
  </w:style>
  <w:style w:type="character" w:customStyle="1" w:styleId="325">
    <w:name w:val="批注引用1"/>
    <w:basedOn w:val="49"/>
    <w:qFormat/>
    <w:uiPriority w:val="0"/>
  </w:style>
  <w:style w:type="character" w:customStyle="1" w:styleId="326">
    <w:name w:val="Char Char39"/>
    <w:qFormat/>
    <w:uiPriority w:val="0"/>
  </w:style>
  <w:style w:type="character" w:customStyle="1" w:styleId="327">
    <w:name w:val="font91"/>
    <w:qFormat/>
    <w:uiPriority w:val="0"/>
    <w:rPr>
      <w:rFonts w:hint="default" w:ascii="Arial" w:hAnsi="Arial" w:cs="Arial"/>
      <w:color w:val="000000"/>
      <w:sz w:val="22"/>
      <w:szCs w:val="22"/>
      <w:u w:val="none"/>
    </w:rPr>
  </w:style>
  <w:style w:type="character" w:customStyle="1" w:styleId="328">
    <w:name w:val="Char Char371"/>
    <w:qFormat/>
    <w:uiPriority w:val="0"/>
  </w:style>
  <w:style w:type="character" w:customStyle="1" w:styleId="329">
    <w:name w:val="bold1"/>
    <w:basedOn w:val="49"/>
    <w:qFormat/>
    <w:uiPriority w:val="0"/>
  </w:style>
  <w:style w:type="character" w:customStyle="1" w:styleId="330">
    <w:name w:val="ABC标题下的小点 Char Char"/>
    <w:basedOn w:val="49"/>
    <w:qFormat/>
    <w:uiPriority w:val="0"/>
  </w:style>
  <w:style w:type="character" w:customStyle="1" w:styleId="331">
    <w:name w:val="p141"/>
    <w:qFormat/>
    <w:uiPriority w:val="0"/>
  </w:style>
  <w:style w:type="character" w:customStyle="1" w:styleId="332">
    <w:name w:val="Char Char171"/>
    <w:qFormat/>
    <w:uiPriority w:val="0"/>
  </w:style>
  <w:style w:type="character" w:customStyle="1" w:styleId="333">
    <w:name w:val="正文文本 2 Char Char"/>
    <w:basedOn w:val="49"/>
    <w:qFormat/>
    <w:uiPriority w:val="0"/>
  </w:style>
  <w:style w:type="character" w:customStyle="1" w:styleId="334">
    <w:name w:val="t_tag"/>
    <w:basedOn w:val="49"/>
    <w:qFormat/>
    <w:uiPriority w:val="0"/>
  </w:style>
  <w:style w:type="character" w:customStyle="1" w:styleId="335">
    <w:name w:val="正文1 Char Char"/>
    <w:basedOn w:val="49"/>
    <w:qFormat/>
    <w:uiPriority w:val="0"/>
  </w:style>
  <w:style w:type="character" w:customStyle="1" w:styleId="336">
    <w:name w:val="Char Char Char Char Char Char Char Char Char"/>
    <w:qFormat/>
    <w:uiPriority w:val="0"/>
  </w:style>
  <w:style w:type="character" w:customStyle="1" w:styleId="337">
    <w:name w:val="（符号）三标题1.1 Char"/>
    <w:qFormat/>
    <w:uiPriority w:val="99"/>
    <w:rPr>
      <w:rFonts w:ascii="宋体" w:hAnsi="宋体"/>
      <w:kern w:val="2"/>
      <w:sz w:val="24"/>
      <w:szCs w:val="24"/>
    </w:rPr>
  </w:style>
  <w:style w:type="character" w:customStyle="1" w:styleId="338">
    <w:name w:val="img"/>
    <w:basedOn w:val="49"/>
    <w:qFormat/>
    <w:uiPriority w:val="0"/>
  </w:style>
  <w:style w:type="character" w:customStyle="1" w:styleId="339">
    <w:name w:val="正文文本缩进 Char1"/>
    <w:semiHidden/>
    <w:qFormat/>
    <w:uiPriority w:val="99"/>
    <w:rPr>
      <w:rFonts w:ascii="Times New Roman" w:hAnsi="Times New Roman" w:eastAsia="宋体" w:cs="Times New Roman"/>
      <w:kern w:val="2"/>
      <w:sz w:val="21"/>
    </w:rPr>
  </w:style>
  <w:style w:type="character" w:customStyle="1" w:styleId="340">
    <w:name w:val="段 Char Char"/>
    <w:link w:val="64"/>
    <w:qFormat/>
    <w:uiPriority w:val="0"/>
    <w:rPr>
      <w:rFonts w:ascii="宋体"/>
      <w:sz w:val="21"/>
      <w:szCs w:val="22"/>
      <w:lang w:val="en-US" w:eastAsia="zh-CN" w:bidi="ar-SA"/>
    </w:rPr>
  </w:style>
  <w:style w:type="character" w:customStyle="1" w:styleId="341">
    <w:name w:val="Char Char42"/>
    <w:qFormat/>
    <w:uiPriority w:val="0"/>
  </w:style>
  <w:style w:type="character" w:customStyle="1" w:styleId="342">
    <w:name w:val="正文文本 2 Char1"/>
    <w:semiHidden/>
    <w:qFormat/>
    <w:uiPriority w:val="99"/>
    <w:rPr>
      <w:rFonts w:ascii="Times New Roman" w:hAnsi="Times New Roman" w:eastAsia="宋体" w:cs="Times New Roman"/>
      <w:kern w:val="2"/>
      <w:sz w:val="21"/>
    </w:rPr>
  </w:style>
  <w:style w:type="character" w:customStyle="1" w:styleId="343">
    <w:name w:val="Char Char38"/>
    <w:qFormat/>
    <w:uiPriority w:val="0"/>
  </w:style>
  <w:style w:type="character" w:customStyle="1" w:styleId="344">
    <w:name w:val="3zw1"/>
    <w:basedOn w:val="49"/>
    <w:qFormat/>
    <w:uiPriority w:val="0"/>
  </w:style>
  <w:style w:type="character" w:customStyle="1" w:styleId="345">
    <w:name w:val="tt5"/>
    <w:basedOn w:val="49"/>
    <w:qFormat/>
    <w:uiPriority w:val="0"/>
  </w:style>
  <w:style w:type="character" w:customStyle="1" w:styleId="346">
    <w:name w:val="Char Char30"/>
    <w:qFormat/>
    <w:uiPriority w:val="0"/>
  </w:style>
  <w:style w:type="character" w:customStyle="1" w:styleId="347">
    <w:name w:val="图表题头 Char Char"/>
    <w:basedOn w:val="49"/>
    <w:qFormat/>
    <w:uiPriority w:val="0"/>
  </w:style>
  <w:style w:type="character" w:customStyle="1" w:styleId="348">
    <w:name w:val="Char Char11"/>
    <w:qFormat/>
    <w:uiPriority w:val="0"/>
  </w:style>
  <w:style w:type="character" w:customStyle="1" w:styleId="349">
    <w:name w:val="标题 Char1"/>
    <w:qFormat/>
    <w:uiPriority w:val="10"/>
    <w:rPr>
      <w:rFonts w:ascii="Cambria" w:hAnsi="Cambria" w:eastAsia="宋体" w:cs="Times New Roman"/>
      <w:b/>
      <w:bCs/>
      <w:kern w:val="2"/>
      <w:sz w:val="32"/>
      <w:szCs w:val="32"/>
    </w:rPr>
  </w:style>
  <w:style w:type="character" w:customStyle="1" w:styleId="350">
    <w:name w:val="font21"/>
    <w:qFormat/>
    <w:uiPriority w:val="0"/>
    <w:rPr>
      <w:rFonts w:ascii="宋体" w:eastAsia="宋体" w:cs="宋体"/>
      <w:color w:val="000000"/>
      <w:sz w:val="20"/>
      <w:szCs w:val="20"/>
      <w:u w:val="none"/>
      <w:lang w:bidi="ar-SA"/>
    </w:rPr>
  </w:style>
  <w:style w:type="character" w:customStyle="1" w:styleId="351">
    <w:name w:val="textnorm_chn1"/>
    <w:basedOn w:val="49"/>
    <w:qFormat/>
    <w:uiPriority w:val="0"/>
  </w:style>
  <w:style w:type="character" w:customStyle="1" w:styleId="352">
    <w:name w:val="ca-2"/>
    <w:basedOn w:val="49"/>
    <w:qFormat/>
    <w:uiPriority w:val="0"/>
  </w:style>
  <w:style w:type="character" w:customStyle="1" w:styleId="353">
    <w:name w:val="样式 标题 3Heading 3 - oldHeading 3H3l3CTBOD 03h33rd level...2 Char Char"/>
    <w:basedOn w:val="49"/>
    <w:qFormat/>
    <w:uiPriority w:val="0"/>
  </w:style>
  <w:style w:type="character" w:customStyle="1" w:styleId="354">
    <w:name w:val="font81"/>
    <w:qFormat/>
    <w:uiPriority w:val="0"/>
    <w:rPr>
      <w:rFonts w:hint="eastAsia" w:ascii="宋体" w:hAnsi="宋体" w:eastAsia="宋体" w:cs="宋体"/>
      <w:color w:val="000000"/>
      <w:sz w:val="22"/>
      <w:szCs w:val="22"/>
      <w:u w:val="none"/>
    </w:rPr>
  </w:style>
  <w:style w:type="character" w:customStyle="1" w:styleId="355">
    <w:name w:val="p121"/>
    <w:basedOn w:val="49"/>
    <w:qFormat/>
    <w:uiPriority w:val="0"/>
  </w:style>
  <w:style w:type="character" w:customStyle="1" w:styleId="356">
    <w:name w:val="small"/>
    <w:basedOn w:val="49"/>
    <w:qFormat/>
    <w:uiPriority w:val="0"/>
  </w:style>
  <w:style w:type="character" w:customStyle="1" w:styleId="357">
    <w:name w:val="正文文本缩进 3 Char1"/>
    <w:semiHidden/>
    <w:qFormat/>
    <w:uiPriority w:val="99"/>
    <w:rPr>
      <w:rFonts w:ascii="Times New Roman" w:hAnsi="Times New Roman" w:eastAsia="宋体" w:cs="Times New Roman"/>
      <w:kern w:val="2"/>
      <w:sz w:val="16"/>
      <w:szCs w:val="16"/>
    </w:rPr>
  </w:style>
  <w:style w:type="character" w:customStyle="1" w:styleId="358">
    <w:name w:val="Char Char48"/>
    <w:basedOn w:val="49"/>
    <w:qFormat/>
    <w:uiPriority w:val="0"/>
  </w:style>
  <w:style w:type="character" w:customStyle="1" w:styleId="359">
    <w:name w:val="正文文本 3 Char1"/>
    <w:semiHidden/>
    <w:qFormat/>
    <w:uiPriority w:val="99"/>
    <w:rPr>
      <w:rFonts w:ascii="Times New Roman" w:hAnsi="Times New Roman" w:eastAsia="宋体" w:cs="Times New Roman"/>
      <w:kern w:val="2"/>
      <w:sz w:val="16"/>
      <w:szCs w:val="16"/>
    </w:rPr>
  </w:style>
  <w:style w:type="character" w:customStyle="1" w:styleId="360">
    <w:name w:val="Footer Char"/>
    <w:semiHidden/>
    <w:qFormat/>
    <w:locked/>
    <w:uiPriority w:val="99"/>
    <w:rPr>
      <w:rFonts w:ascii="Calibri" w:hAnsi="Calibri" w:eastAsia="宋体" w:cs="Times New Roman"/>
      <w:sz w:val="18"/>
      <w:szCs w:val="18"/>
    </w:rPr>
  </w:style>
  <w:style w:type="character" w:customStyle="1" w:styleId="361">
    <w:name w:val="Char Char301"/>
    <w:qFormat/>
    <w:uiPriority w:val="0"/>
  </w:style>
  <w:style w:type="character" w:customStyle="1" w:styleId="362">
    <w:name w:val="正文文本 Char1"/>
    <w:qFormat/>
    <w:uiPriority w:val="0"/>
    <w:rPr>
      <w:rFonts w:ascii="Times New Roman" w:hAnsi="Times New Roman" w:eastAsia="宋体" w:cs="Times New Roman"/>
      <w:szCs w:val="20"/>
    </w:rPr>
  </w:style>
  <w:style w:type="character" w:customStyle="1" w:styleId="363">
    <w:name w:val="Char Char401"/>
    <w:qFormat/>
    <w:uiPriority w:val="0"/>
  </w:style>
  <w:style w:type="character" w:customStyle="1" w:styleId="364">
    <w:name w:val="maywed421"/>
    <w:basedOn w:val="49"/>
    <w:qFormat/>
    <w:uiPriority w:val="0"/>
  </w:style>
  <w:style w:type="character" w:customStyle="1" w:styleId="365">
    <w:name w:val="Para head"/>
    <w:basedOn w:val="49"/>
    <w:qFormat/>
    <w:uiPriority w:val="0"/>
  </w:style>
  <w:style w:type="character" w:customStyle="1" w:styleId="366">
    <w:name w:val="Heading 2 Hidden Char"/>
    <w:qFormat/>
    <w:uiPriority w:val="0"/>
  </w:style>
  <w:style w:type="character" w:customStyle="1" w:styleId="367">
    <w:name w:val="Char Char431"/>
    <w:basedOn w:val="49"/>
    <w:qFormat/>
    <w:uiPriority w:val="0"/>
  </w:style>
  <w:style w:type="character" w:customStyle="1" w:styleId="368">
    <w:name w:val="Heading 0 Char1"/>
    <w:basedOn w:val="49"/>
    <w:qFormat/>
    <w:uiPriority w:val="0"/>
  </w:style>
  <w:style w:type="character" w:customStyle="1" w:styleId="369">
    <w:name w:val="标准正文 Char Char"/>
    <w:basedOn w:val="49"/>
    <w:qFormat/>
    <w:uiPriority w:val="0"/>
  </w:style>
  <w:style w:type="character" w:customStyle="1" w:styleId="370">
    <w:name w:val="field15"/>
    <w:basedOn w:val="49"/>
    <w:qFormat/>
    <w:uiPriority w:val="0"/>
  </w:style>
  <w:style w:type="character" w:customStyle="1" w:styleId="371">
    <w:name w:val="Char Char141"/>
    <w:qFormat/>
    <w:uiPriority w:val="0"/>
  </w:style>
  <w:style w:type="character" w:customStyle="1" w:styleId="372">
    <w:name w:val="style181"/>
    <w:basedOn w:val="49"/>
    <w:qFormat/>
    <w:uiPriority w:val="0"/>
  </w:style>
  <w:style w:type="character" w:customStyle="1" w:styleId="373">
    <w:name w:val="ca-01"/>
    <w:qFormat/>
    <w:uiPriority w:val="0"/>
    <w:rPr>
      <w:rFonts w:hint="eastAsia" w:ascii="仿宋_GB2312" w:eastAsia="仿宋_GB2312"/>
      <w:b/>
      <w:bCs/>
      <w:spacing w:val="-20"/>
      <w:sz w:val="36"/>
      <w:szCs w:val="36"/>
    </w:rPr>
  </w:style>
  <w:style w:type="character" w:customStyle="1" w:styleId="374">
    <w:name w:val="yqlink"/>
    <w:basedOn w:val="49"/>
    <w:qFormat/>
    <w:uiPriority w:val="0"/>
  </w:style>
  <w:style w:type="character" w:customStyle="1" w:styleId="375">
    <w:name w:val="style71"/>
    <w:basedOn w:val="49"/>
    <w:qFormat/>
    <w:uiPriority w:val="0"/>
  </w:style>
  <w:style w:type="character" w:customStyle="1" w:styleId="376">
    <w:name w:val="Char Char50"/>
    <w:basedOn w:val="49"/>
    <w:qFormat/>
    <w:uiPriority w:val="0"/>
  </w:style>
  <w:style w:type="character" w:customStyle="1" w:styleId="377">
    <w:name w:val="Char Char34"/>
    <w:qFormat/>
    <w:uiPriority w:val="0"/>
  </w:style>
  <w:style w:type="character" w:customStyle="1" w:styleId="378">
    <w:name w:val="pt9-hui-line201"/>
    <w:basedOn w:val="49"/>
    <w:qFormat/>
    <w:uiPriority w:val="0"/>
  </w:style>
  <w:style w:type="character" w:customStyle="1" w:styleId="379">
    <w:name w:val="unnamed31"/>
    <w:basedOn w:val="49"/>
    <w:qFormat/>
    <w:uiPriority w:val="0"/>
  </w:style>
  <w:style w:type="character" w:customStyle="1" w:styleId="380">
    <w:name w:val="title1"/>
    <w:basedOn w:val="49"/>
    <w:qFormat/>
    <w:uiPriority w:val="0"/>
  </w:style>
  <w:style w:type="character" w:customStyle="1" w:styleId="381">
    <w:name w:val="Char Char28"/>
    <w:qFormat/>
    <w:uiPriority w:val="0"/>
  </w:style>
  <w:style w:type="character" w:customStyle="1" w:styleId="382">
    <w:name w:val="font121"/>
    <w:qFormat/>
    <w:uiPriority w:val="0"/>
    <w:rPr>
      <w:rFonts w:hint="eastAsia" w:ascii="宋体" w:hAnsi="宋体" w:eastAsia="宋体" w:cs="宋体"/>
      <w:b/>
      <w:color w:val="000000"/>
      <w:sz w:val="24"/>
      <w:szCs w:val="24"/>
      <w:u w:val="none"/>
    </w:rPr>
  </w:style>
  <w:style w:type="character" w:customStyle="1" w:styleId="383">
    <w:name w:val="txt11"/>
    <w:basedOn w:val="49"/>
    <w:qFormat/>
    <w:uiPriority w:val="0"/>
  </w:style>
  <w:style w:type="character" w:customStyle="1" w:styleId="384">
    <w:name w:val="日期 Char Char"/>
    <w:basedOn w:val="49"/>
    <w:qFormat/>
    <w:uiPriority w:val="0"/>
  </w:style>
  <w:style w:type="character" w:customStyle="1" w:styleId="385">
    <w:name w:val="三级条标题 Char Char Char Char Char Char Char Char Char Char Char Char Char Char Char Char Char Char Char Char Char Char Char Char Char Char Char Char Char Char Char Char Char Char Char Char Char Char Char Char Char Char Char Char Char Char Char Char Char Ch"/>
    <w:basedOn w:val="49"/>
    <w:qFormat/>
    <w:uiPriority w:val="0"/>
  </w:style>
  <w:style w:type="character" w:customStyle="1" w:styleId="386">
    <w:name w:val="引用 Char"/>
    <w:link w:val="65"/>
    <w:qFormat/>
    <w:uiPriority w:val="29"/>
    <w:rPr>
      <w:i/>
      <w:sz w:val="24"/>
      <w:szCs w:val="24"/>
    </w:rPr>
  </w:style>
  <w:style w:type="character" w:customStyle="1" w:styleId="387">
    <w:name w:val="Char Char24"/>
    <w:qFormat/>
    <w:uiPriority w:val="0"/>
  </w:style>
  <w:style w:type="character" w:customStyle="1" w:styleId="388">
    <w:name w:val="Char Char16"/>
    <w:qFormat/>
    <w:uiPriority w:val="0"/>
  </w:style>
  <w:style w:type="character" w:customStyle="1" w:styleId="389">
    <w:name w:val="纯文本 Char Char1"/>
    <w:qFormat/>
    <w:uiPriority w:val="0"/>
  </w:style>
  <w:style w:type="character" w:customStyle="1" w:styleId="390">
    <w:name w:val="正文首行缩进 Char1"/>
    <w:semiHidden/>
    <w:qFormat/>
    <w:uiPriority w:val="99"/>
    <w:rPr>
      <w:rFonts w:ascii="Times New Roman" w:hAnsi="Times New Roman" w:eastAsia="宋体" w:cs="Times New Roman"/>
      <w:kern w:val="2"/>
      <w:sz w:val="21"/>
      <w:szCs w:val="20"/>
    </w:rPr>
  </w:style>
  <w:style w:type="character" w:customStyle="1" w:styleId="391">
    <w:name w:val="Char Char Char Char Char Char Char Char Char Char"/>
    <w:basedOn w:val="49"/>
    <w:qFormat/>
    <w:uiPriority w:val="0"/>
  </w:style>
  <w:style w:type="character" w:customStyle="1" w:styleId="392">
    <w:name w:val="Char Char8"/>
    <w:qFormat/>
    <w:uiPriority w:val="0"/>
  </w:style>
  <w:style w:type="character" w:customStyle="1" w:styleId="393">
    <w:name w:val="Char Char341"/>
    <w:basedOn w:val="49"/>
    <w:qFormat/>
    <w:uiPriority w:val="0"/>
  </w:style>
  <w:style w:type="character" w:customStyle="1" w:styleId="394">
    <w:name w:val="样式 题注 + 宋体 小四 Char Char"/>
    <w:basedOn w:val="239"/>
    <w:qFormat/>
    <w:uiPriority w:val="0"/>
    <w:rPr>
      <w:rFonts w:ascii="宋体" w:eastAsia="宋体"/>
      <w:kern w:val="2"/>
      <w:sz w:val="18"/>
      <w:szCs w:val="18"/>
      <w:lang w:bidi="ar-SA"/>
    </w:rPr>
  </w:style>
  <w:style w:type="character" w:customStyle="1" w:styleId="395">
    <w:name w:val="标题 4 Char1"/>
    <w:qFormat/>
    <w:uiPriority w:val="9"/>
    <w:rPr>
      <w:rFonts w:ascii="Calibri" w:hAnsi="Calibri" w:eastAsia="黑体"/>
      <w:b/>
      <w:bCs/>
      <w:sz w:val="32"/>
      <w:szCs w:val="28"/>
    </w:rPr>
  </w:style>
  <w:style w:type="character" w:customStyle="1" w:styleId="396">
    <w:name w:val="hang1"/>
    <w:basedOn w:val="49"/>
    <w:qFormat/>
    <w:uiPriority w:val="0"/>
  </w:style>
  <w:style w:type="character" w:customStyle="1" w:styleId="397">
    <w:name w:val="正文文本缩进 3 Char Char"/>
    <w:basedOn w:val="49"/>
    <w:qFormat/>
    <w:uiPriority w:val="0"/>
  </w:style>
  <w:style w:type="character" w:customStyle="1" w:styleId="398">
    <w:name w:val="ca-12"/>
    <w:basedOn w:val="49"/>
    <w:qFormat/>
    <w:uiPriority w:val="0"/>
  </w:style>
  <w:style w:type="character" w:customStyle="1" w:styleId="399">
    <w:name w:val="Char Char18"/>
    <w:qFormat/>
    <w:uiPriority w:val="0"/>
  </w:style>
  <w:style w:type="character" w:customStyle="1" w:styleId="400">
    <w:name w:val="Char Char25"/>
    <w:qFormat/>
    <w:uiPriority w:val="0"/>
  </w:style>
  <w:style w:type="character" w:customStyle="1" w:styleId="401">
    <w:name w:val="表内文字 Char Char"/>
    <w:basedOn w:val="49"/>
    <w:qFormat/>
    <w:uiPriority w:val="0"/>
  </w:style>
  <w:style w:type="character" w:customStyle="1" w:styleId="402">
    <w:name w:val="Char Char29"/>
    <w:qFormat/>
    <w:uiPriority w:val="0"/>
  </w:style>
  <w:style w:type="character" w:customStyle="1" w:styleId="403">
    <w:name w:val="Char Char481"/>
    <w:qFormat/>
    <w:uiPriority w:val="0"/>
  </w:style>
  <w:style w:type="character" w:customStyle="1" w:styleId="404">
    <w:name w:val="Char Char81"/>
    <w:qFormat/>
    <w:uiPriority w:val="0"/>
  </w:style>
  <w:style w:type="character" w:customStyle="1" w:styleId="405">
    <w:name w:val="font11"/>
    <w:qFormat/>
    <w:uiPriority w:val="0"/>
    <w:rPr>
      <w:rFonts w:hint="default" w:ascii="Arial" w:hAnsi="Arial" w:cs="Arial"/>
      <w:color w:val="000000"/>
      <w:sz w:val="22"/>
      <w:szCs w:val="22"/>
      <w:u w:val="none"/>
    </w:rPr>
  </w:style>
  <w:style w:type="character" w:customStyle="1" w:styleId="406">
    <w:name w:val="Char Char461"/>
    <w:basedOn w:val="49"/>
    <w:qFormat/>
    <w:uiPriority w:val="0"/>
  </w:style>
  <w:style w:type="character" w:customStyle="1" w:styleId="407">
    <w:name w:val="Table Text Char1"/>
    <w:basedOn w:val="49"/>
    <w:qFormat/>
    <w:uiPriority w:val="0"/>
  </w:style>
  <w:style w:type="character" w:customStyle="1" w:styleId="408">
    <w:name w:val="ca-32"/>
    <w:qFormat/>
    <w:uiPriority w:val="0"/>
  </w:style>
  <w:style w:type="character" w:customStyle="1" w:styleId="409">
    <w:name w:val="页码1"/>
    <w:basedOn w:val="49"/>
    <w:qFormat/>
    <w:uiPriority w:val="0"/>
  </w:style>
  <w:style w:type="character" w:customStyle="1" w:styleId="410">
    <w:name w:val="Char Char47"/>
    <w:basedOn w:val="49"/>
    <w:qFormat/>
    <w:uiPriority w:val="0"/>
  </w:style>
  <w:style w:type="character" w:customStyle="1" w:styleId="411">
    <w:name w:val="题注 Char Char"/>
    <w:basedOn w:val="49"/>
    <w:qFormat/>
    <w:uiPriority w:val="0"/>
  </w:style>
  <w:style w:type="character" w:customStyle="1" w:styleId="412">
    <w:name w:val="_Style 410"/>
    <w:qFormat/>
    <w:uiPriority w:val="32"/>
    <w:rPr>
      <w:b/>
      <w:sz w:val="24"/>
      <w:u w:val="single"/>
    </w:rPr>
  </w:style>
  <w:style w:type="character" w:customStyle="1" w:styleId="413">
    <w:name w:val="（符号）三标题1.1 Char Char"/>
    <w:link w:val="66"/>
    <w:qFormat/>
    <w:locked/>
    <w:uiPriority w:val="0"/>
    <w:rPr>
      <w:rFonts w:ascii="宋体" w:hAnsi="宋体"/>
      <w:kern w:val="2"/>
      <w:sz w:val="24"/>
      <w:szCs w:val="24"/>
      <w:lang w:bidi="ar-SA"/>
    </w:rPr>
  </w:style>
  <w:style w:type="character" w:customStyle="1" w:styleId="414">
    <w:name w:val="正文（缩进） Char Char1"/>
    <w:basedOn w:val="49"/>
    <w:qFormat/>
    <w:uiPriority w:val="0"/>
  </w:style>
  <w:style w:type="character" w:customStyle="1" w:styleId="415">
    <w:name w:val="style91"/>
    <w:basedOn w:val="49"/>
    <w:qFormat/>
    <w:uiPriority w:val="0"/>
  </w:style>
  <w:style w:type="character" w:customStyle="1" w:styleId="416">
    <w:name w:val="列出段落 Char"/>
    <w:link w:val="67"/>
    <w:qFormat/>
    <w:uiPriority w:val="0"/>
    <w:rPr>
      <w:rFonts w:ascii="Calibri" w:hAnsi="Calibri"/>
      <w:szCs w:val="21"/>
      <w:lang w:bidi="ar-SA"/>
    </w:rPr>
  </w:style>
  <w:style w:type="character" w:customStyle="1" w:styleId="417">
    <w:name w:val="Char Char351"/>
    <w:basedOn w:val="49"/>
    <w:qFormat/>
    <w:uiPriority w:val="0"/>
  </w:style>
  <w:style w:type="character" w:customStyle="1" w:styleId="418">
    <w:name w:val="unnamed11"/>
    <w:basedOn w:val="49"/>
    <w:qFormat/>
    <w:uiPriority w:val="0"/>
  </w:style>
  <w:style w:type="character" w:customStyle="1" w:styleId="419">
    <w:name w:val="content"/>
    <w:basedOn w:val="49"/>
    <w:qFormat/>
    <w:uiPriority w:val="0"/>
  </w:style>
  <w:style w:type="character" w:customStyle="1" w:styleId="420">
    <w:name w:val="标题 4 Char Char"/>
    <w:basedOn w:val="49"/>
    <w:qFormat/>
    <w:uiPriority w:val="0"/>
  </w:style>
  <w:style w:type="character" w:customStyle="1" w:styleId="421">
    <w:name w:val="Char Char23"/>
    <w:qFormat/>
    <w:uiPriority w:val="0"/>
  </w:style>
  <w:style w:type="character" w:customStyle="1" w:styleId="422">
    <w:name w:val="正文首行缩进两字符 Char Char"/>
    <w:basedOn w:val="49"/>
    <w:qFormat/>
    <w:uiPriority w:val="0"/>
  </w:style>
  <w:style w:type="character" w:customStyle="1" w:styleId="423">
    <w:name w:val="明显引用 Char"/>
    <w:link w:val="68"/>
    <w:qFormat/>
    <w:uiPriority w:val="30"/>
    <w:rPr>
      <w:b/>
      <w:i/>
      <w:sz w:val="24"/>
    </w:rPr>
  </w:style>
  <w:style w:type="character" w:customStyle="1" w:styleId="424">
    <w:name w:val="正文小标题 Char Char"/>
    <w:basedOn w:val="49"/>
    <w:qFormat/>
    <w:uiPriority w:val="0"/>
  </w:style>
  <w:style w:type="character" w:customStyle="1" w:styleId="425">
    <w:name w:val="ca-7"/>
    <w:basedOn w:val="49"/>
    <w:qFormat/>
    <w:uiPriority w:val="0"/>
  </w:style>
  <w:style w:type="character" w:customStyle="1" w:styleId="426">
    <w:name w:val="Char Char5"/>
    <w:qFormat/>
    <w:uiPriority w:val="0"/>
  </w:style>
  <w:style w:type="character" w:customStyle="1" w:styleId="427">
    <w:name w:val="fo Char"/>
    <w:basedOn w:val="49"/>
    <w:qFormat/>
    <w:uiPriority w:val="0"/>
  </w:style>
  <w:style w:type="character" w:customStyle="1" w:styleId="428">
    <w:name w:val="Char Char12"/>
    <w:qFormat/>
    <w:uiPriority w:val="0"/>
  </w:style>
  <w:style w:type="character" w:customStyle="1" w:styleId="429">
    <w:name w:val="t11"/>
    <w:basedOn w:val="49"/>
    <w:qFormat/>
    <w:uiPriority w:val="0"/>
  </w:style>
  <w:style w:type="character" w:customStyle="1" w:styleId="430">
    <w:name w:val="l151"/>
    <w:basedOn w:val="49"/>
    <w:qFormat/>
    <w:uiPriority w:val="0"/>
  </w:style>
  <w:style w:type="character" w:customStyle="1" w:styleId="431">
    <w:name w:val="Footer1 Char Char"/>
    <w:basedOn w:val="49"/>
    <w:qFormat/>
    <w:uiPriority w:val="0"/>
  </w:style>
  <w:style w:type="character" w:customStyle="1" w:styleId="432">
    <w:name w:val="方框标题 Char Char"/>
    <w:basedOn w:val="49"/>
    <w:qFormat/>
    <w:uiPriority w:val="0"/>
  </w:style>
  <w:style w:type="character" w:customStyle="1" w:styleId="433">
    <w:name w:val="text1"/>
    <w:basedOn w:val="49"/>
    <w:qFormat/>
    <w:uiPriority w:val="0"/>
  </w:style>
  <w:style w:type="character" w:customStyle="1" w:styleId="434">
    <w:name w:val="Char Char45"/>
    <w:basedOn w:val="49"/>
    <w:qFormat/>
    <w:uiPriority w:val="0"/>
  </w:style>
  <w:style w:type="character" w:customStyle="1" w:styleId="435">
    <w:name w:val="小标题 Char Char"/>
    <w:basedOn w:val="49"/>
    <w:qFormat/>
    <w:uiPriority w:val="0"/>
  </w:style>
  <w:style w:type="character" w:customStyle="1" w:styleId="436">
    <w:name w:val="ca-1"/>
    <w:basedOn w:val="49"/>
    <w:qFormat/>
    <w:uiPriority w:val="0"/>
  </w:style>
  <w:style w:type="character" w:customStyle="1" w:styleId="437">
    <w:name w:val="Char Char201"/>
    <w:qFormat/>
    <w:uiPriority w:val="0"/>
  </w:style>
  <w:style w:type="character" w:customStyle="1" w:styleId="438">
    <w:name w:val="Char Char131"/>
    <w:qFormat/>
    <w:uiPriority w:val="0"/>
  </w:style>
  <w:style w:type="character" w:customStyle="1" w:styleId="439">
    <w:name w:val="Char Char471"/>
    <w:qFormat/>
    <w:uiPriority w:val="0"/>
  </w:style>
  <w:style w:type="character" w:customStyle="1" w:styleId="440">
    <w:name w:val="Char Char381"/>
    <w:qFormat/>
    <w:uiPriority w:val="0"/>
  </w:style>
  <w:style w:type="character" w:customStyle="1" w:styleId="441">
    <w:name w:val="b21"/>
    <w:basedOn w:val="49"/>
    <w:qFormat/>
    <w:uiPriority w:val="0"/>
  </w:style>
  <w:style w:type="character" w:customStyle="1" w:styleId="442">
    <w:name w:val="pediy"/>
    <w:basedOn w:val="49"/>
    <w:qFormat/>
    <w:uiPriority w:val="0"/>
  </w:style>
  <w:style w:type="character" w:customStyle="1" w:styleId="443">
    <w:name w:val="Highlighted Variable"/>
    <w:basedOn w:val="49"/>
    <w:qFormat/>
    <w:uiPriority w:val="0"/>
  </w:style>
  <w:style w:type="character" w:customStyle="1" w:styleId="444">
    <w:name w:val="页脚 Char Char"/>
    <w:basedOn w:val="49"/>
    <w:qFormat/>
    <w:uiPriority w:val="0"/>
  </w:style>
  <w:style w:type="character" w:customStyle="1" w:styleId="445">
    <w:name w:val="z-窗体顶端 Char1"/>
    <w:semiHidden/>
    <w:qFormat/>
    <w:uiPriority w:val="99"/>
    <w:rPr>
      <w:rFonts w:ascii="Arial" w:hAnsi="Arial" w:eastAsia="宋体" w:cs="Arial"/>
      <w:vanish/>
      <w:kern w:val="2"/>
      <w:sz w:val="16"/>
      <w:szCs w:val="16"/>
    </w:rPr>
  </w:style>
  <w:style w:type="character" w:customStyle="1" w:styleId="446">
    <w:name w:val="NormalCharacter"/>
    <w:qFormat/>
    <w:uiPriority w:val="0"/>
  </w:style>
  <w:style w:type="character" w:customStyle="1" w:styleId="447">
    <w:name w:val="abcde1"/>
    <w:basedOn w:val="49"/>
    <w:qFormat/>
    <w:uiPriority w:val="0"/>
  </w:style>
  <w:style w:type="character" w:customStyle="1" w:styleId="448">
    <w:name w:val="标题 3 Char Char"/>
    <w:basedOn w:val="49"/>
    <w:qFormat/>
    <w:uiPriority w:val="0"/>
  </w:style>
  <w:style w:type="character" w:customStyle="1" w:styleId="449">
    <w:name w:val="Char Char151"/>
    <w:qFormat/>
    <w:uiPriority w:val="0"/>
  </w:style>
  <w:style w:type="character" w:customStyle="1" w:styleId="450">
    <w:name w:val="Char Char121"/>
    <w:basedOn w:val="49"/>
    <w:qFormat/>
    <w:uiPriority w:val="0"/>
  </w:style>
  <w:style w:type="character" w:customStyle="1" w:styleId="451">
    <w:name w:val="para"/>
    <w:basedOn w:val="49"/>
    <w:qFormat/>
    <w:uiPriority w:val="0"/>
  </w:style>
  <w:style w:type="character" w:customStyle="1" w:styleId="452">
    <w:name w:val="Char Char Char Char Char Char Char Char Char1"/>
    <w:basedOn w:val="49"/>
    <w:qFormat/>
    <w:uiPriority w:val="0"/>
  </w:style>
  <w:style w:type="character" w:customStyle="1" w:styleId="453">
    <w:name w:val="px141"/>
    <w:basedOn w:val="49"/>
    <w:qFormat/>
    <w:uiPriority w:val="0"/>
  </w:style>
  <w:style w:type="character" w:customStyle="1" w:styleId="454">
    <w:name w:val="article1"/>
    <w:basedOn w:val="49"/>
    <w:qFormat/>
    <w:uiPriority w:val="0"/>
  </w:style>
  <w:style w:type="character" w:customStyle="1" w:styleId="455">
    <w:name w:val="Char Char161"/>
    <w:basedOn w:val="49"/>
    <w:qFormat/>
    <w:uiPriority w:val="0"/>
  </w:style>
  <w:style w:type="character" w:customStyle="1" w:styleId="456">
    <w:name w:val="文档结构图 Char1"/>
    <w:semiHidden/>
    <w:qFormat/>
    <w:uiPriority w:val="99"/>
    <w:rPr>
      <w:rFonts w:ascii="Microsoft YaHei UI" w:hAnsi="Times New Roman" w:eastAsia="Microsoft YaHei UI" w:cs="Times New Roman"/>
      <w:kern w:val="2"/>
      <w:sz w:val="18"/>
      <w:szCs w:val="18"/>
    </w:rPr>
  </w:style>
  <w:style w:type="character" w:customStyle="1" w:styleId="457">
    <w:name w:val="point_normal"/>
    <w:basedOn w:val="49"/>
    <w:qFormat/>
    <w:uiPriority w:val="0"/>
  </w:style>
  <w:style w:type="character" w:customStyle="1" w:styleId="458">
    <w:name w:val="Char Char181"/>
    <w:qFormat/>
    <w:uiPriority w:val="0"/>
  </w:style>
  <w:style w:type="character" w:customStyle="1" w:styleId="459">
    <w:name w:val="Char Char231"/>
    <w:qFormat/>
    <w:uiPriority w:val="0"/>
  </w:style>
  <w:style w:type="character" w:customStyle="1" w:styleId="460">
    <w:name w:val="Char Char451"/>
    <w:qFormat/>
    <w:uiPriority w:val="0"/>
  </w:style>
  <w:style w:type="character" w:customStyle="1" w:styleId="461">
    <w:name w:val="批注引用11"/>
    <w:qFormat/>
    <w:uiPriority w:val="0"/>
  </w:style>
  <w:style w:type="character" w:customStyle="1" w:styleId="462">
    <w:name w:val="Char Char271"/>
    <w:qFormat/>
    <w:uiPriority w:val="0"/>
  </w:style>
  <w:style w:type="character" w:customStyle="1" w:styleId="463">
    <w:name w:val="z-窗体顶端 Char"/>
    <w:link w:val="69"/>
    <w:qFormat/>
    <w:uiPriority w:val="0"/>
    <w:rPr>
      <w:rFonts w:ascii="Arial" w:hAnsi="Arial" w:eastAsia="宋体"/>
      <w:vanish/>
      <w:sz w:val="16"/>
      <w:szCs w:val="16"/>
      <w:lang w:bidi="ar-SA"/>
    </w:rPr>
  </w:style>
  <w:style w:type="character" w:customStyle="1" w:styleId="464">
    <w:name w:val="1 标题 Char Char"/>
    <w:basedOn w:val="49"/>
    <w:qFormat/>
    <w:uiPriority w:val="0"/>
  </w:style>
  <w:style w:type="character" w:customStyle="1" w:styleId="465">
    <w:name w:val="标题2"/>
    <w:basedOn w:val="49"/>
    <w:qFormat/>
    <w:uiPriority w:val="0"/>
  </w:style>
  <w:style w:type="character" w:customStyle="1" w:styleId="466">
    <w:name w:val="标题 1 Char Char"/>
    <w:basedOn w:val="49"/>
    <w:qFormat/>
    <w:uiPriority w:val="0"/>
  </w:style>
  <w:style w:type="character" w:customStyle="1" w:styleId="467">
    <w:name w:val="p12"/>
    <w:basedOn w:val="49"/>
    <w:qFormat/>
    <w:uiPriority w:val="0"/>
  </w:style>
  <w:style w:type="character" w:customStyle="1" w:styleId="468">
    <w:name w:val="Char Char281"/>
    <w:qFormat/>
    <w:uiPriority w:val="0"/>
  </w:style>
  <w:style w:type="character" w:customStyle="1" w:styleId="469">
    <w:name w:val="Char Char19"/>
    <w:basedOn w:val="49"/>
    <w:qFormat/>
    <w:uiPriority w:val="0"/>
  </w:style>
  <w:style w:type="character" w:customStyle="1" w:styleId="470">
    <w:name w:val="副标题 Char1"/>
    <w:qFormat/>
    <w:uiPriority w:val="11"/>
    <w:rPr>
      <w:rFonts w:ascii="Cambria" w:hAnsi="Cambria" w:cs="Times New Roman"/>
      <w:b/>
      <w:bCs/>
      <w:kern w:val="28"/>
      <w:sz w:val="32"/>
      <w:szCs w:val="32"/>
    </w:rPr>
  </w:style>
  <w:style w:type="character" w:customStyle="1" w:styleId="471">
    <w:name w:val="正文段落 Char Char"/>
    <w:basedOn w:val="49"/>
    <w:qFormat/>
    <w:uiPriority w:val="0"/>
  </w:style>
  <w:style w:type="character" w:customStyle="1" w:styleId="472">
    <w:name w:val="_Style 470"/>
    <w:qFormat/>
    <w:uiPriority w:val="21"/>
    <w:rPr>
      <w:b/>
      <w:i/>
      <w:sz w:val="24"/>
      <w:szCs w:val="24"/>
      <w:u w:val="single"/>
    </w:rPr>
  </w:style>
  <w:style w:type="character" w:customStyle="1" w:styleId="473">
    <w:name w:val="Char Char421"/>
    <w:basedOn w:val="49"/>
    <w:qFormat/>
    <w:uiPriority w:val="0"/>
  </w:style>
  <w:style w:type="character" w:customStyle="1" w:styleId="474">
    <w:name w:val="Char Char41"/>
    <w:basedOn w:val="49"/>
    <w:qFormat/>
    <w:uiPriority w:val="0"/>
  </w:style>
  <w:style w:type="character" w:customStyle="1" w:styleId="475">
    <w:name w:val="日期 Char1"/>
    <w:semiHidden/>
    <w:qFormat/>
    <w:uiPriority w:val="99"/>
    <w:rPr>
      <w:rFonts w:ascii="Times New Roman" w:hAnsi="Times New Roman" w:eastAsia="宋体" w:cs="Times New Roman"/>
      <w:kern w:val="2"/>
      <w:sz w:val="21"/>
    </w:rPr>
  </w:style>
  <w:style w:type="character" w:customStyle="1" w:styleId="476">
    <w:name w:val="脚注文本 Char1"/>
    <w:semiHidden/>
    <w:qFormat/>
    <w:uiPriority w:val="99"/>
    <w:rPr>
      <w:rFonts w:ascii="Times New Roman" w:hAnsi="Times New Roman" w:eastAsia="宋体" w:cs="Times New Roman"/>
      <w:kern w:val="2"/>
      <w:sz w:val="18"/>
      <w:szCs w:val="18"/>
    </w:rPr>
  </w:style>
  <w:style w:type="character" w:customStyle="1" w:styleId="477">
    <w:name w:val="Char Char491"/>
    <w:qFormat/>
    <w:uiPriority w:val="0"/>
  </w:style>
  <w:style w:type="character" w:customStyle="1" w:styleId="478">
    <w:name w:val="纯文本 Char1"/>
    <w:basedOn w:val="49"/>
    <w:qFormat/>
    <w:uiPriority w:val="0"/>
  </w:style>
  <w:style w:type="character" w:customStyle="1" w:styleId="479">
    <w:name w:val="Char Char251"/>
    <w:qFormat/>
    <w:uiPriority w:val="0"/>
  </w:style>
  <w:style w:type="character" w:customStyle="1" w:styleId="480">
    <w:name w:val="font41"/>
    <w:qFormat/>
    <w:uiPriority w:val="0"/>
    <w:rPr>
      <w:rFonts w:hint="default" w:ascii="Arial" w:hAnsi="Arial" w:cs="Arial"/>
      <w:color w:val="000000"/>
      <w:sz w:val="22"/>
      <w:szCs w:val="22"/>
      <w:u w:val="none"/>
    </w:rPr>
  </w:style>
  <w:style w:type="character" w:customStyle="1" w:styleId="481">
    <w:name w:val="Char Char9"/>
    <w:qFormat/>
    <w:uiPriority w:val="0"/>
  </w:style>
  <w:style w:type="character" w:customStyle="1" w:styleId="482">
    <w:name w:val="Char Char21"/>
    <w:basedOn w:val="49"/>
    <w:qFormat/>
    <w:uiPriority w:val="0"/>
  </w:style>
  <w:style w:type="character" w:customStyle="1" w:styleId="483">
    <w:name w:val="font111"/>
    <w:qFormat/>
    <w:uiPriority w:val="0"/>
    <w:rPr>
      <w:rFonts w:hint="eastAsia" w:ascii="楷体_GB2312" w:eastAsia="楷体_GB2312" w:cs="楷体_GB2312"/>
      <w:color w:val="000000"/>
      <w:sz w:val="20"/>
      <w:szCs w:val="20"/>
      <w:u w:val="none"/>
    </w:rPr>
  </w:style>
  <w:style w:type="character" w:customStyle="1" w:styleId="484">
    <w:name w:val="Char Char91"/>
    <w:basedOn w:val="49"/>
    <w:qFormat/>
    <w:uiPriority w:val="0"/>
  </w:style>
  <w:style w:type="character" w:customStyle="1" w:styleId="485">
    <w:name w:val="11-a-a"/>
    <w:basedOn w:val="49"/>
    <w:qFormat/>
    <w:uiPriority w:val="0"/>
  </w:style>
  <w:style w:type="character" w:customStyle="1" w:styleId="486">
    <w:name w:val="副标题 Char2"/>
    <w:qFormat/>
    <w:uiPriority w:val="11"/>
    <w:rPr>
      <w:rFonts w:ascii="Cambria" w:hAnsi="Cambria" w:eastAsia="宋体" w:cs="Times New Roman"/>
      <w:b/>
      <w:bCs/>
      <w:kern w:val="28"/>
      <w:sz w:val="32"/>
      <w:szCs w:val="32"/>
    </w:rPr>
  </w:style>
  <w:style w:type="character" w:customStyle="1" w:styleId="487">
    <w:name w:val="Table Text Char Char Char Char Char Char1 Char Char"/>
    <w:basedOn w:val="49"/>
    <w:qFormat/>
    <w:uiPriority w:val="0"/>
  </w:style>
  <w:style w:type="character" w:customStyle="1" w:styleId="488">
    <w:name w:val="列出段落 Char1"/>
    <w:basedOn w:val="49"/>
    <w:qFormat/>
    <w:uiPriority w:val="0"/>
  </w:style>
  <w:style w:type="character" w:customStyle="1" w:styleId="489">
    <w:name w:val="Char Char391"/>
    <w:qFormat/>
    <w:uiPriority w:val="0"/>
  </w:style>
  <w:style w:type="character" w:customStyle="1" w:styleId="490">
    <w:name w:val="ca-0"/>
    <w:basedOn w:val="49"/>
    <w:qFormat/>
    <w:uiPriority w:val="0"/>
  </w:style>
  <w:style w:type="character" w:customStyle="1" w:styleId="491">
    <w:name w:val="wctjfont1"/>
    <w:basedOn w:val="49"/>
    <w:qFormat/>
    <w:uiPriority w:val="0"/>
  </w:style>
  <w:style w:type="character" w:customStyle="1" w:styleId="492">
    <w:name w:val="Char Char291"/>
    <w:qFormat/>
    <w:uiPriority w:val="0"/>
  </w:style>
  <w:style w:type="character" w:customStyle="1" w:styleId="493">
    <w:name w:val="文字 Char Char"/>
    <w:basedOn w:val="49"/>
    <w:qFormat/>
    <w:uiPriority w:val="0"/>
  </w:style>
  <w:style w:type="character" w:customStyle="1" w:styleId="494">
    <w:name w:val="标题样式 Char"/>
    <w:link w:val="70"/>
    <w:qFormat/>
    <w:locked/>
    <w:uiPriority w:val="0"/>
    <w:rPr>
      <w:rFonts w:ascii="黑体" w:eastAsia="黑体"/>
      <w:b/>
      <w:kern w:val="2"/>
      <w:sz w:val="32"/>
      <w:lang w:bidi="ar-SA"/>
    </w:rPr>
  </w:style>
  <w:style w:type="character" w:customStyle="1" w:styleId="495">
    <w:name w:val="Char Char51"/>
    <w:basedOn w:val="49"/>
    <w:qFormat/>
    <w:uiPriority w:val="0"/>
  </w:style>
  <w:style w:type="character" w:customStyle="1" w:styleId="496">
    <w:name w:val="标题 3 Char Char Char"/>
    <w:basedOn w:val="49"/>
    <w:qFormat/>
    <w:uiPriority w:val="0"/>
  </w:style>
  <w:style w:type="character" w:customStyle="1" w:styleId="497">
    <w:name w:val="正文（标记） Char2"/>
    <w:basedOn w:val="49"/>
    <w:qFormat/>
    <w:uiPriority w:val="0"/>
  </w:style>
  <w:style w:type="character" w:customStyle="1" w:styleId="498">
    <w:name w:val="Char Char321"/>
    <w:qFormat/>
    <w:uiPriority w:val="0"/>
  </w:style>
  <w:style w:type="character" w:customStyle="1" w:styleId="499">
    <w:name w:val="Char Char331"/>
    <w:basedOn w:val="393"/>
    <w:qFormat/>
    <w:uiPriority w:val="0"/>
  </w:style>
  <w:style w:type="character" w:customStyle="1" w:styleId="500">
    <w:name w:val="text21"/>
    <w:basedOn w:val="49"/>
    <w:qFormat/>
    <w:uiPriority w:val="0"/>
  </w:style>
  <w:style w:type="character" w:customStyle="1" w:styleId="501">
    <w:name w:val="Char Char241"/>
    <w:qFormat/>
    <w:uiPriority w:val="0"/>
  </w:style>
  <w:style w:type="character" w:customStyle="1" w:styleId="502">
    <w:name w:val="font101"/>
    <w:qFormat/>
    <w:uiPriority w:val="0"/>
    <w:rPr>
      <w:rFonts w:ascii="楷体_GB2312" w:eastAsia="楷体_GB2312" w:cs="楷体_GB2312"/>
      <w:color w:val="000000"/>
      <w:sz w:val="20"/>
      <w:szCs w:val="20"/>
      <w:u w:val="none"/>
    </w:rPr>
  </w:style>
  <w:style w:type="character" w:customStyle="1" w:styleId="503">
    <w:name w:val="ca-4"/>
    <w:basedOn w:val="49"/>
    <w:qFormat/>
    <w:uiPriority w:val="0"/>
  </w:style>
  <w:style w:type="character" w:customStyle="1" w:styleId="504">
    <w:name w:val="Char Char501"/>
    <w:qFormat/>
    <w:uiPriority w:val="0"/>
  </w:style>
  <w:style w:type="character" w:customStyle="1" w:styleId="505">
    <w:name w:val="Char Char22"/>
    <w:qFormat/>
    <w:uiPriority w:val="0"/>
  </w:style>
  <w:style w:type="character" w:customStyle="1" w:styleId="506">
    <w:name w:val="Char Char261"/>
    <w:qFormat/>
    <w:uiPriority w:val="0"/>
  </w:style>
  <w:style w:type="character" w:customStyle="1" w:styleId="507">
    <w:name w:val="表格 Char Char"/>
    <w:link w:val="71"/>
    <w:qFormat/>
    <w:uiPriority w:val="0"/>
    <w:rPr>
      <w:rFonts w:eastAsia="宋体"/>
      <w:kern w:val="2"/>
      <w:sz w:val="24"/>
      <w:szCs w:val="24"/>
      <w:lang w:val="en-US" w:eastAsia="zh-CN" w:bidi="ar-SA"/>
    </w:rPr>
  </w:style>
  <w:style w:type="character" w:customStyle="1" w:styleId="508">
    <w:name w:val="z-窗体底端 Char"/>
    <w:link w:val="72"/>
    <w:qFormat/>
    <w:uiPriority w:val="0"/>
    <w:rPr>
      <w:rFonts w:ascii="Arial" w:hAnsi="Arial" w:eastAsia="宋体"/>
      <w:vanish/>
      <w:sz w:val="16"/>
      <w:szCs w:val="16"/>
      <w:lang w:bidi="ar-SA"/>
    </w:rPr>
  </w:style>
  <w:style w:type="character" w:customStyle="1" w:styleId="509">
    <w:name w:val="标题 5 Char Char"/>
    <w:basedOn w:val="49"/>
    <w:qFormat/>
    <w:uiPriority w:val="0"/>
  </w:style>
  <w:style w:type="character" w:customStyle="1" w:styleId="510">
    <w:name w:val="font71"/>
    <w:qFormat/>
    <w:uiPriority w:val="0"/>
    <w:rPr>
      <w:rFonts w:hint="default" w:ascii="Arial" w:hAnsi="Arial" w:cs="Arial"/>
      <w:b/>
      <w:color w:val="000000"/>
      <w:sz w:val="22"/>
      <w:szCs w:val="22"/>
      <w:u w:val="none"/>
    </w:rPr>
  </w:style>
  <w:style w:type="character" w:customStyle="1" w:styleId="511">
    <w:name w:val="Char Char410"/>
    <w:qFormat/>
    <w:uiPriority w:val="0"/>
  </w:style>
  <w:style w:type="character" w:customStyle="1" w:styleId="512">
    <w:name w:val="ca-5"/>
    <w:basedOn w:val="49"/>
    <w:qFormat/>
    <w:uiPriority w:val="0"/>
  </w:style>
  <w:style w:type="character" w:customStyle="1" w:styleId="513">
    <w:name w:val="样式1 Char"/>
    <w:link w:val="73"/>
    <w:qFormat/>
    <w:locked/>
    <w:uiPriority w:val="99"/>
    <w:rPr>
      <w:rFonts w:ascii="宋体" w:hAnsi="宋体" w:eastAsia="黑体"/>
      <w:b/>
      <w:bCs/>
      <w:kern w:val="2"/>
      <w:sz w:val="24"/>
      <w:szCs w:val="32"/>
      <w:lang w:val="en-US" w:eastAsia="zh-CN" w:bidi="ar-SA"/>
    </w:rPr>
  </w:style>
  <w:style w:type="character" w:customStyle="1" w:styleId="514">
    <w:name w:val="Char Char Char Char Char Char Char Char Char Char Char1"/>
    <w:qFormat/>
    <w:uiPriority w:val="0"/>
    <w:rPr>
      <w:rFonts w:ascii="宋体"/>
      <w:kern w:val="2"/>
      <w:sz w:val="18"/>
      <w:szCs w:val="18"/>
    </w:rPr>
  </w:style>
  <w:style w:type="character" w:customStyle="1" w:styleId="515">
    <w:name w:val="Char Char221"/>
    <w:qFormat/>
    <w:uiPriority w:val="0"/>
  </w:style>
  <w:style w:type="character" w:customStyle="1" w:styleId="516">
    <w:name w:val="a9"/>
    <w:basedOn w:val="49"/>
    <w:qFormat/>
    <w:uiPriority w:val="0"/>
  </w:style>
  <w:style w:type="character" w:customStyle="1" w:styleId="517">
    <w:name w:val="正文缩进2格 Char Char"/>
    <w:basedOn w:val="49"/>
    <w:qFormat/>
    <w:uiPriority w:val="0"/>
  </w:style>
  <w:style w:type="character" w:customStyle="1" w:styleId="518">
    <w:name w:val="ca-111"/>
    <w:basedOn w:val="49"/>
    <w:qFormat/>
    <w:uiPriority w:val="0"/>
  </w:style>
  <w:style w:type="character" w:customStyle="1" w:styleId="519">
    <w:name w:val="标题 7 Char Char"/>
    <w:basedOn w:val="49"/>
    <w:qFormat/>
    <w:uiPriority w:val="0"/>
  </w:style>
  <w:style w:type="character" w:customStyle="1" w:styleId="520">
    <w:name w:val="Char Char Char Char Char Char Char Char Char Char1"/>
    <w:qFormat/>
    <w:uiPriority w:val="0"/>
  </w:style>
  <w:style w:type="character" w:customStyle="1" w:styleId="521">
    <w:name w:val="Char Char311"/>
    <w:qFormat/>
    <w:uiPriority w:val="0"/>
  </w:style>
  <w:style w:type="character" w:customStyle="1" w:styleId="522">
    <w:name w:val="Char Char111"/>
    <w:qFormat/>
    <w:uiPriority w:val="0"/>
  </w:style>
  <w:style w:type="character" w:customStyle="1" w:styleId="523">
    <w:name w:val="text"/>
    <w:basedOn w:val="49"/>
    <w:qFormat/>
    <w:uiPriority w:val="0"/>
  </w:style>
  <w:style w:type="character" w:customStyle="1" w:styleId="524">
    <w:name w:val="方框下的123标题 Char Char"/>
    <w:basedOn w:val="49"/>
    <w:qFormat/>
    <w:uiPriority w:val="0"/>
  </w:style>
  <w:style w:type="character" w:customStyle="1" w:styleId="525">
    <w:name w:val="页码11"/>
    <w:qFormat/>
    <w:uiPriority w:val="0"/>
  </w:style>
  <w:style w:type="character" w:customStyle="1" w:styleId="526">
    <w:name w:val="Char Char411"/>
    <w:qFormat/>
    <w:uiPriority w:val="0"/>
  </w:style>
  <w:style w:type="character" w:customStyle="1" w:styleId="527">
    <w:name w:val="style171"/>
    <w:basedOn w:val="49"/>
    <w:qFormat/>
    <w:uiPriority w:val="0"/>
  </w:style>
  <w:style w:type="character" w:customStyle="1" w:styleId="528">
    <w:name w:val="ca-11"/>
    <w:basedOn w:val="49"/>
    <w:qFormat/>
    <w:uiPriority w:val="0"/>
  </w:style>
  <w:style w:type="character" w:customStyle="1" w:styleId="529">
    <w:name w:val="Char Char101"/>
    <w:qFormat/>
    <w:uiPriority w:val="0"/>
  </w:style>
  <w:style w:type="character" w:customStyle="1" w:styleId="530">
    <w:name w:val="Char Char361"/>
    <w:qFormat/>
    <w:uiPriority w:val="0"/>
  </w:style>
  <w:style w:type="character" w:customStyle="1" w:styleId="531">
    <w:name w:val="font-121"/>
    <w:basedOn w:val="49"/>
    <w:qFormat/>
    <w:uiPriority w:val="0"/>
  </w:style>
  <w:style w:type="character" w:customStyle="1" w:styleId="532">
    <w:name w:val="ca-9"/>
    <w:basedOn w:val="49"/>
    <w:qFormat/>
    <w:uiPriority w:val="0"/>
  </w:style>
  <w:style w:type="paragraph" w:customStyle="1" w:styleId="533">
    <w:name w:val="修订1"/>
    <w:hidden/>
    <w:unhideWhenUsed/>
    <w:qFormat/>
    <w:uiPriority w:val="99"/>
    <w:rPr>
      <w:rFonts w:ascii="Times New Roman" w:hAnsi="Times New Roman" w:eastAsia="宋体" w:cs="Times New Roman"/>
      <w:sz w:val="24"/>
      <w:szCs w:val="24"/>
      <w:lang w:val="en-US" w:eastAsia="zh-CN" w:bidi="ar-SA"/>
    </w:rPr>
  </w:style>
  <w:style w:type="paragraph" w:customStyle="1" w:styleId="534">
    <w:name w:val="Revision"/>
    <w:hidden/>
    <w:unhideWhenUsed/>
    <w:qFormat/>
    <w:uiPriority w:val="99"/>
    <w:rPr>
      <w:rFonts w:ascii="Times New Roman" w:hAnsi="Times New Roman" w:eastAsia="宋体" w:cs="Times New Roman"/>
      <w:sz w:val="24"/>
      <w:szCs w:val="24"/>
      <w:lang w:val="en-US" w:eastAsia="zh-CN" w:bidi="ar-SA"/>
    </w:rPr>
  </w:style>
  <w:style w:type="paragraph" w:customStyle="1" w:styleId="535">
    <w:name w:val="正文首行缩进（绿盟科技）"/>
    <w:basedOn w:val="1"/>
    <w:qFormat/>
    <w:uiPriority w:val="0"/>
    <w:pPr>
      <w:widowControl/>
      <w:spacing w:after="50" w:line="300" w:lineRule="auto"/>
      <w:ind w:firstLine="200" w:firstLineChars="200"/>
      <w:jc w:val="left"/>
    </w:pPr>
    <w:rPr>
      <w:rFonts w:ascii="Arial" w:hAnsi="Arial" w:eastAsia="宋体" w:cs="Times New Roman"/>
      <w:kern w:val="0"/>
      <w:szCs w:val="21"/>
    </w:rPr>
  </w:style>
  <w:style w:type="table" w:customStyle="1" w:styleId="536">
    <w:name w:val="Table Normal"/>
    <w:semiHidden/>
    <w:unhideWhenUsed/>
    <w:qFormat/>
    <w:uiPriority w:val="0"/>
    <w:tblPr>
      <w:tblCellMar>
        <w:top w:w="0" w:type="dxa"/>
        <w:left w:w="0" w:type="dxa"/>
        <w:bottom w:w="0" w:type="dxa"/>
        <w:right w:w="0" w:type="dxa"/>
      </w:tblCellMar>
    </w:tblPr>
  </w:style>
  <w:style w:type="paragraph" w:customStyle="1" w:styleId="537">
    <w:name w:val="Body Text 2"/>
    <w:basedOn w:val="1"/>
    <w:qFormat/>
    <w:uiPriority w:val="0"/>
    <w:pPr>
      <w:adjustRightInd w:val="0"/>
      <w:spacing w:line="300" w:lineRule="auto"/>
      <w:jc w:val="center"/>
      <w:textAlignment w:val="baseline"/>
    </w:pPr>
    <w:rPr>
      <w:rFonts w:ascii="宋体" w:hAnsi="宋体"/>
      <w:sz w:val="24"/>
    </w:rPr>
  </w:style>
  <w:style w:type="paragraph" w:customStyle="1" w:styleId="538">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1.png"/><Relationship Id="rId53" Type="http://schemas.openxmlformats.org/officeDocument/2006/relationships/theme" Target="theme/theme1.xml"/><Relationship Id="rId52" Type="http://schemas.openxmlformats.org/officeDocument/2006/relationships/footer" Target="footer26.xml"/><Relationship Id="rId51" Type="http://schemas.openxmlformats.org/officeDocument/2006/relationships/header" Target="header24.xml"/><Relationship Id="rId50" Type="http://schemas.openxmlformats.org/officeDocument/2006/relationships/footer" Target="footer25.xml"/><Relationship Id="rId5" Type="http://schemas.openxmlformats.org/officeDocument/2006/relationships/header" Target="header3.xml"/><Relationship Id="rId49" Type="http://schemas.openxmlformats.org/officeDocument/2006/relationships/header" Target="header23.xml"/><Relationship Id="rId48" Type="http://schemas.openxmlformats.org/officeDocument/2006/relationships/footer" Target="footer24.xml"/><Relationship Id="rId47" Type="http://schemas.openxmlformats.org/officeDocument/2006/relationships/header" Target="header22.xml"/><Relationship Id="rId46" Type="http://schemas.openxmlformats.org/officeDocument/2006/relationships/footer" Target="footer23.xml"/><Relationship Id="rId45" Type="http://schemas.openxmlformats.org/officeDocument/2006/relationships/footer" Target="footer22.xml"/><Relationship Id="rId44" Type="http://schemas.openxmlformats.org/officeDocument/2006/relationships/header" Target="header21.xml"/><Relationship Id="rId43" Type="http://schemas.openxmlformats.org/officeDocument/2006/relationships/header" Target="header20.xml"/><Relationship Id="rId42" Type="http://schemas.openxmlformats.org/officeDocument/2006/relationships/footer" Target="footer21.xml"/><Relationship Id="rId41" Type="http://schemas.openxmlformats.org/officeDocument/2006/relationships/header" Target="header19.xml"/><Relationship Id="rId40" Type="http://schemas.openxmlformats.org/officeDocument/2006/relationships/footer" Target="footer20.xml"/><Relationship Id="rId4" Type="http://schemas.openxmlformats.org/officeDocument/2006/relationships/header" Target="header2.xml"/><Relationship Id="rId39" Type="http://schemas.openxmlformats.org/officeDocument/2006/relationships/header" Target="header18.xml"/><Relationship Id="rId38" Type="http://schemas.openxmlformats.org/officeDocument/2006/relationships/footer" Target="footer19.xml"/><Relationship Id="rId37" Type="http://schemas.openxmlformats.org/officeDocument/2006/relationships/header" Target="header17.xml"/><Relationship Id="rId36" Type="http://schemas.openxmlformats.org/officeDocument/2006/relationships/footer" Target="footer18.xml"/><Relationship Id="rId35" Type="http://schemas.openxmlformats.org/officeDocument/2006/relationships/header" Target="header16.xml"/><Relationship Id="rId34" Type="http://schemas.openxmlformats.org/officeDocument/2006/relationships/footer" Target="footer17.xml"/><Relationship Id="rId33" Type="http://schemas.openxmlformats.org/officeDocument/2006/relationships/header" Target="header15.xml"/><Relationship Id="rId32" Type="http://schemas.openxmlformats.org/officeDocument/2006/relationships/footer" Target="footer16.xml"/><Relationship Id="rId31" Type="http://schemas.openxmlformats.org/officeDocument/2006/relationships/header" Target="header14.xml"/><Relationship Id="rId30" Type="http://schemas.openxmlformats.org/officeDocument/2006/relationships/footer" Target="footer15.xml"/><Relationship Id="rId3" Type="http://schemas.openxmlformats.org/officeDocument/2006/relationships/header" Target="header1.xml"/><Relationship Id="rId29" Type="http://schemas.openxmlformats.org/officeDocument/2006/relationships/header" Target="header13.xml"/><Relationship Id="rId28" Type="http://schemas.openxmlformats.org/officeDocument/2006/relationships/footer" Target="footer14.xml"/><Relationship Id="rId27" Type="http://schemas.openxmlformats.org/officeDocument/2006/relationships/header" Target="header12.xml"/><Relationship Id="rId26" Type="http://schemas.openxmlformats.org/officeDocument/2006/relationships/footer" Target="footer13.xml"/><Relationship Id="rId25" Type="http://schemas.openxmlformats.org/officeDocument/2006/relationships/header" Target="header1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header" Target="header4.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20.xml.rels><?xml version="1.0" encoding="UTF-8" standalone="yes"?>
<Relationships xmlns="http://schemas.openxmlformats.org/package/2006/relationships"><Relationship Id="rId1" Type="http://schemas.openxmlformats.org/officeDocument/2006/relationships/image" Target="media/image4.png"/></Relationships>
</file>

<file path=word/_rels/header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67</Pages>
  <Words>6272</Words>
  <Characters>6673</Characters>
  <Lines>311</Lines>
  <Paragraphs>87</Paragraphs>
  <TotalTime>283</TotalTime>
  <ScaleCrop>false</ScaleCrop>
  <LinksUpToDate>false</LinksUpToDate>
  <CharactersWithSpaces>6739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2020-08-04T04:08:00Z</dcterms:created>
  <dc:creator>User</dc:creator>
  <cp:lastModifiedBy>像雾像雨又像风</cp:lastModifiedBy>
  <cp:lastPrinted>2026-01-27T03:15:00Z</cp:lastPrinted>
  <dcterms:modified xsi:type="dcterms:W3CDTF">2026-03-02T03:09:53Z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09B278A558C94EC5862DC8517A70ABA8_13</vt:lpwstr>
  </property>
  <property fmtid="{D5CDD505-2E9C-101B-9397-08002B2CF9AE}" pid="4" name="KSOTemplateDocerSaveRecord">
    <vt:lpwstr>eyJoZGlkIjoiN2MxOWJiOWZlNjk1NWJhZDlhOWY4ZTU3ZDRiN2NiN2YiLCJ1c2VySWQiOiIxMTM2NTUxODAwIn0=</vt:lpwstr>
  </property>
</Properties>
</file>